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E7C" w:rsidRDefault="00622E7C">
      <w:pPr>
        <w:rPr>
          <w:b/>
          <w:sz w:val="24"/>
          <w:szCs w:val="24"/>
        </w:rPr>
      </w:pPr>
      <w:bookmarkStart w:id="0" w:name="_GoBack"/>
      <w:bookmarkEnd w:id="0"/>
      <w:r w:rsidRPr="00622E7C">
        <w:rPr>
          <w:b/>
          <w:sz w:val="24"/>
          <w:szCs w:val="24"/>
        </w:rPr>
        <w:t>Overview</w:t>
      </w:r>
    </w:p>
    <w:p w:rsidR="00A54321" w:rsidRPr="00A54321" w:rsidRDefault="00622E7C">
      <w:pPr>
        <w:rPr>
          <w:sz w:val="24"/>
          <w:szCs w:val="24"/>
        </w:rPr>
      </w:pPr>
      <w:r>
        <w:rPr>
          <w:b/>
          <w:sz w:val="24"/>
          <w:szCs w:val="24"/>
        </w:rPr>
        <w:t>T</w:t>
      </w:r>
      <w:r w:rsidRPr="00622E7C">
        <w:rPr>
          <w:sz w:val="24"/>
          <w:szCs w:val="24"/>
        </w:rPr>
        <w:t>his te</w:t>
      </w:r>
      <w:r w:rsidR="006A3731">
        <w:rPr>
          <w:sz w:val="24"/>
          <w:szCs w:val="24"/>
        </w:rPr>
        <w:t xml:space="preserve">rm has presented challenges. I have made it my priority to learn how to use and interrogate SPTO. </w:t>
      </w:r>
      <w:r w:rsidR="00711BDA">
        <w:rPr>
          <w:sz w:val="24"/>
          <w:szCs w:val="24"/>
        </w:rPr>
        <w:t>T</w:t>
      </w:r>
      <w:r w:rsidR="001909CD">
        <w:rPr>
          <w:sz w:val="24"/>
          <w:szCs w:val="24"/>
        </w:rPr>
        <w:t>ime was needed</w:t>
      </w:r>
      <w:r w:rsidR="006A3731">
        <w:rPr>
          <w:sz w:val="24"/>
          <w:szCs w:val="24"/>
        </w:rPr>
        <w:t xml:space="preserve"> to learn and use the systems available. </w:t>
      </w:r>
      <w:r w:rsidR="00346E20">
        <w:rPr>
          <w:sz w:val="24"/>
          <w:szCs w:val="24"/>
        </w:rPr>
        <w:t xml:space="preserve">A key </w:t>
      </w:r>
      <w:r w:rsidR="000E553B">
        <w:rPr>
          <w:sz w:val="24"/>
          <w:szCs w:val="24"/>
        </w:rPr>
        <w:t>priority</w:t>
      </w:r>
      <w:r w:rsidR="006A3731">
        <w:rPr>
          <w:sz w:val="24"/>
          <w:szCs w:val="24"/>
        </w:rPr>
        <w:t xml:space="preserve"> </w:t>
      </w:r>
      <w:r w:rsidR="00346E20">
        <w:rPr>
          <w:sz w:val="24"/>
          <w:szCs w:val="24"/>
        </w:rPr>
        <w:t xml:space="preserve">for me </w:t>
      </w:r>
      <w:r w:rsidR="006A3731">
        <w:rPr>
          <w:sz w:val="24"/>
          <w:szCs w:val="24"/>
        </w:rPr>
        <w:t xml:space="preserve">has been on </w:t>
      </w:r>
      <w:r>
        <w:rPr>
          <w:sz w:val="24"/>
          <w:szCs w:val="24"/>
        </w:rPr>
        <w:t>ensuring that the children in my class started to make the accelerated progress that is expected of them</w:t>
      </w:r>
      <w:r w:rsidR="006A3731">
        <w:rPr>
          <w:sz w:val="24"/>
          <w:szCs w:val="24"/>
        </w:rPr>
        <w:t xml:space="preserve">. </w:t>
      </w:r>
    </w:p>
    <w:p w:rsidR="00A54321" w:rsidRDefault="00622E7C">
      <w:pPr>
        <w:rPr>
          <w:b/>
          <w:sz w:val="24"/>
          <w:szCs w:val="24"/>
        </w:rPr>
      </w:pPr>
      <w:r w:rsidRPr="00A54321">
        <w:rPr>
          <w:b/>
          <w:sz w:val="24"/>
          <w:szCs w:val="24"/>
        </w:rPr>
        <w:t>Monitoring</w:t>
      </w:r>
    </w:p>
    <w:p w:rsidR="001B1E55" w:rsidRDefault="00A54321">
      <w:pPr>
        <w:rPr>
          <w:sz w:val="24"/>
          <w:szCs w:val="24"/>
        </w:rPr>
      </w:pPr>
      <w:r w:rsidRPr="00A54321">
        <w:rPr>
          <w:sz w:val="24"/>
          <w:szCs w:val="24"/>
        </w:rPr>
        <w:t xml:space="preserve">Initially I had 9 classes to monitor. I carried out a review of English planning although this role was later taken over by the T&amp;L coach and English Co-ordinator. </w:t>
      </w:r>
      <w:r>
        <w:rPr>
          <w:sz w:val="24"/>
          <w:szCs w:val="24"/>
        </w:rPr>
        <w:t xml:space="preserve">I monitored planning formats and learning environments. After the resignation of the AH of Upper School, I have been re-assigned to lead Years 3, 4 and 5. </w:t>
      </w:r>
    </w:p>
    <w:p w:rsidR="00A54321" w:rsidRDefault="00A54321">
      <w:pPr>
        <w:rPr>
          <w:b/>
          <w:sz w:val="24"/>
          <w:szCs w:val="24"/>
        </w:rPr>
      </w:pPr>
      <w:r w:rsidRPr="00A54321">
        <w:rPr>
          <w:b/>
          <w:sz w:val="24"/>
          <w:szCs w:val="24"/>
        </w:rPr>
        <w:t>Staffing</w:t>
      </w:r>
    </w:p>
    <w:p w:rsidR="00A54321" w:rsidRDefault="00481278">
      <w:pPr>
        <w:rPr>
          <w:sz w:val="24"/>
          <w:szCs w:val="24"/>
        </w:rPr>
      </w:pPr>
      <w:r w:rsidRPr="00481278">
        <w:rPr>
          <w:sz w:val="24"/>
          <w:szCs w:val="24"/>
        </w:rPr>
        <w:t>There were new staff in Years 2 and 3. One member of staff struggled to m</w:t>
      </w:r>
      <w:r>
        <w:rPr>
          <w:sz w:val="24"/>
          <w:szCs w:val="24"/>
        </w:rPr>
        <w:t xml:space="preserve">eet the high standards expected and decided to leave at Christmas. </w:t>
      </w:r>
      <w:r w:rsidRPr="00481278">
        <w:rPr>
          <w:sz w:val="24"/>
          <w:szCs w:val="24"/>
        </w:rPr>
        <w:t xml:space="preserve"> In Year 4, one member of staff decided to retire with effect from January 2019. </w:t>
      </w:r>
      <w:r>
        <w:rPr>
          <w:sz w:val="24"/>
          <w:szCs w:val="24"/>
        </w:rPr>
        <w:t xml:space="preserve"> There have also been resignations of support staff and at times, morale has been affected. This has been addressed and I believe that moving forward, the high standards will become the ‘norm’. </w:t>
      </w:r>
      <w:r w:rsidRPr="00481278">
        <w:rPr>
          <w:sz w:val="24"/>
          <w:szCs w:val="24"/>
        </w:rPr>
        <w:t>New staff in Years 5 and 6 have worked hard to establish routines and raise the expectations of behavio</w:t>
      </w:r>
      <w:r>
        <w:rPr>
          <w:sz w:val="24"/>
          <w:szCs w:val="24"/>
        </w:rPr>
        <w:t>u</w:t>
      </w:r>
      <w:r w:rsidRPr="00481278">
        <w:rPr>
          <w:sz w:val="24"/>
          <w:szCs w:val="24"/>
        </w:rPr>
        <w:t xml:space="preserve">r. </w:t>
      </w:r>
      <w:r>
        <w:rPr>
          <w:sz w:val="24"/>
          <w:szCs w:val="24"/>
        </w:rPr>
        <w:t>A focus for 2019 is to ensure tha</w:t>
      </w:r>
      <w:r w:rsidR="00346E20">
        <w:rPr>
          <w:sz w:val="24"/>
          <w:szCs w:val="24"/>
        </w:rPr>
        <w:t xml:space="preserve">t communication is improved. It is also my opinion that there should be a </w:t>
      </w:r>
      <w:r>
        <w:rPr>
          <w:sz w:val="24"/>
          <w:szCs w:val="24"/>
        </w:rPr>
        <w:t>foc</w:t>
      </w:r>
      <w:r w:rsidR="00346E20">
        <w:rPr>
          <w:sz w:val="24"/>
          <w:szCs w:val="24"/>
        </w:rPr>
        <w:t xml:space="preserve">us on ensuring staff-wellbeing. </w:t>
      </w:r>
    </w:p>
    <w:p w:rsidR="00481278" w:rsidRDefault="00481278">
      <w:pPr>
        <w:rPr>
          <w:b/>
          <w:sz w:val="24"/>
          <w:szCs w:val="24"/>
        </w:rPr>
      </w:pPr>
      <w:r w:rsidRPr="00481278">
        <w:rPr>
          <w:b/>
          <w:sz w:val="24"/>
          <w:szCs w:val="24"/>
        </w:rPr>
        <w:t>Behaviour</w:t>
      </w:r>
    </w:p>
    <w:p w:rsidR="00481278" w:rsidRPr="00481278" w:rsidRDefault="00481278">
      <w:pPr>
        <w:rPr>
          <w:sz w:val="24"/>
          <w:szCs w:val="24"/>
        </w:rPr>
      </w:pPr>
      <w:r w:rsidRPr="00481278">
        <w:rPr>
          <w:sz w:val="24"/>
          <w:szCs w:val="24"/>
        </w:rPr>
        <w:t>Behaviour during transitions was quickly identified as being an area for focus. All staff have been expected to be on playground duty to eliminate low-level disruption. I believe that this has been addressed and I believe that from January the need for high levels of staffing will be reduced as the children are now clear about expectations. Teachers must contin</w:t>
      </w:r>
      <w:r>
        <w:rPr>
          <w:sz w:val="24"/>
          <w:szCs w:val="24"/>
        </w:rPr>
        <w:t>ue to be vigilant and rigorous in enforcing the expectations.</w:t>
      </w:r>
    </w:p>
    <w:p w:rsidR="00481278" w:rsidRDefault="00481278">
      <w:pPr>
        <w:rPr>
          <w:b/>
          <w:sz w:val="24"/>
          <w:szCs w:val="24"/>
        </w:rPr>
      </w:pPr>
      <w:r>
        <w:rPr>
          <w:b/>
          <w:sz w:val="24"/>
          <w:szCs w:val="24"/>
        </w:rPr>
        <w:t>Teaching and Learning</w:t>
      </w:r>
    </w:p>
    <w:p w:rsidR="00622E7C" w:rsidRPr="00622E7C" w:rsidRDefault="00622E7C">
      <w:pPr>
        <w:rPr>
          <w:b/>
          <w:sz w:val="24"/>
          <w:szCs w:val="24"/>
        </w:rPr>
      </w:pPr>
      <w:r w:rsidRPr="00622E7C">
        <w:rPr>
          <w:b/>
          <w:sz w:val="24"/>
          <w:szCs w:val="24"/>
        </w:rPr>
        <w:t>Data Analysis</w:t>
      </w:r>
    </w:p>
    <w:p w:rsidR="00862EC0" w:rsidRPr="000E553B" w:rsidRDefault="00862EC0">
      <w:pPr>
        <w:rPr>
          <w:b/>
          <w:u w:val="single"/>
        </w:rPr>
      </w:pPr>
      <w:r w:rsidRPr="000E553B">
        <w:rPr>
          <w:b/>
          <w:u w:val="single"/>
        </w:rPr>
        <w:t>Year 3</w:t>
      </w:r>
      <w:r w:rsidR="000E553B" w:rsidRPr="000E553B">
        <w:rPr>
          <w:b/>
          <w:u w:val="single"/>
        </w:rPr>
        <w:t xml:space="preserve"> Progress Report</w:t>
      </w:r>
    </w:p>
    <w:p w:rsidR="00862EC0" w:rsidRDefault="00862EC0">
      <w:r>
        <w:rPr>
          <w:noProof/>
          <w:lang w:val="en-GB" w:eastAsia="en-GB"/>
        </w:rPr>
        <w:drawing>
          <wp:inline distT="0" distB="0" distL="0" distR="0" wp14:anchorId="3409888B" wp14:editId="12E5D91B">
            <wp:extent cx="5943600" cy="873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873760"/>
                    </a:xfrm>
                    <a:prstGeom prst="rect">
                      <a:avLst/>
                    </a:prstGeom>
                  </pic:spPr>
                </pic:pic>
              </a:graphicData>
            </a:graphic>
          </wp:inline>
        </w:drawing>
      </w:r>
    </w:p>
    <w:p w:rsidR="00862EC0" w:rsidRDefault="00862EC0">
      <w:r>
        <w:rPr>
          <w:noProof/>
          <w:lang w:val="en-GB" w:eastAsia="en-GB"/>
        </w:rPr>
        <w:lastRenderedPageBreak/>
        <w:drawing>
          <wp:inline distT="0" distB="0" distL="0" distR="0" wp14:anchorId="2631B136" wp14:editId="1C7B0A5D">
            <wp:extent cx="5943600" cy="2402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402205"/>
                    </a:xfrm>
                    <a:prstGeom prst="rect">
                      <a:avLst/>
                    </a:prstGeom>
                  </pic:spPr>
                </pic:pic>
              </a:graphicData>
            </a:graphic>
          </wp:inline>
        </w:drawing>
      </w:r>
    </w:p>
    <w:p w:rsidR="006E00DC" w:rsidRDefault="006E00DC" w:rsidP="00862EC0">
      <w:r>
        <w:t xml:space="preserve">SPTO has been used to identify Intervention groups (reading and maths) that will begin in January 2019.  </w:t>
      </w:r>
      <w:r w:rsidR="00385B9C">
        <w:t xml:space="preserve">Progress in </w:t>
      </w:r>
      <w:r>
        <w:t xml:space="preserve">Reading and writing  in Red Deer are significantly below the parallel classes and so my monitoring will be focused on regular meetings with the Year 3 team to moderate together. </w:t>
      </w:r>
    </w:p>
    <w:p w:rsidR="00862EC0" w:rsidRPr="006E00DC" w:rsidRDefault="0048139C" w:rsidP="00862EC0">
      <w:pPr>
        <w:rPr>
          <w:b/>
        </w:rPr>
      </w:pPr>
      <w:r w:rsidRPr="006E00DC">
        <w:rPr>
          <w:b/>
        </w:rPr>
        <w:t>Pupil Premium Year 3</w:t>
      </w:r>
    </w:p>
    <w:p w:rsidR="0048139C" w:rsidRDefault="0048139C" w:rsidP="00862EC0">
      <w:r>
        <w:rPr>
          <w:noProof/>
          <w:lang w:val="en-GB" w:eastAsia="en-GB"/>
        </w:rPr>
        <w:drawing>
          <wp:inline distT="0" distB="0" distL="0" distR="0" wp14:anchorId="784438DB" wp14:editId="3324E37C">
            <wp:extent cx="5943600" cy="688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88340"/>
                    </a:xfrm>
                    <a:prstGeom prst="rect">
                      <a:avLst/>
                    </a:prstGeom>
                  </pic:spPr>
                </pic:pic>
              </a:graphicData>
            </a:graphic>
          </wp:inline>
        </w:drawing>
      </w:r>
    </w:p>
    <w:p w:rsidR="006E00DC" w:rsidRDefault="006E00DC" w:rsidP="00862EC0">
      <w:r>
        <w:t xml:space="preserve">Progress of PP children in Year 3 is significantly better than their peers. </w:t>
      </w:r>
    </w:p>
    <w:p w:rsidR="006E00DC" w:rsidRDefault="00385B9C" w:rsidP="00862EC0">
      <w:pPr>
        <w:rPr>
          <w:b/>
        </w:rPr>
      </w:pPr>
      <w:r>
        <w:rPr>
          <w:b/>
        </w:rPr>
        <w:t xml:space="preserve">YEAR 3 at </w:t>
      </w:r>
      <w:r w:rsidR="00D260D8" w:rsidRPr="00D260D8">
        <w:rPr>
          <w:b/>
        </w:rPr>
        <w:t>ARE DECEMBER 2018</w:t>
      </w:r>
    </w:p>
    <w:p w:rsidR="00D260D8" w:rsidRPr="00D260D8" w:rsidRDefault="00D260D8" w:rsidP="00862EC0">
      <w:pPr>
        <w:rPr>
          <w:b/>
        </w:rPr>
      </w:pPr>
      <w:r>
        <w:rPr>
          <w:noProof/>
          <w:lang w:val="en-GB" w:eastAsia="en-GB"/>
        </w:rPr>
        <w:drawing>
          <wp:inline distT="0" distB="0" distL="0" distR="0" wp14:anchorId="3C6E7ED7" wp14:editId="76D89E59">
            <wp:extent cx="5943600" cy="9245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24560"/>
                    </a:xfrm>
                    <a:prstGeom prst="rect">
                      <a:avLst/>
                    </a:prstGeom>
                  </pic:spPr>
                </pic:pic>
              </a:graphicData>
            </a:graphic>
          </wp:inline>
        </w:drawing>
      </w:r>
    </w:p>
    <w:p w:rsidR="00D260D8" w:rsidRDefault="00D260D8" w:rsidP="00862EC0">
      <w:r>
        <w:rPr>
          <w:noProof/>
          <w:lang w:val="en-GB" w:eastAsia="en-GB"/>
        </w:rPr>
        <w:drawing>
          <wp:inline distT="0" distB="0" distL="0" distR="0" wp14:anchorId="190745C6" wp14:editId="6A0302B5">
            <wp:extent cx="6132044" cy="256222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53177" cy="2571055"/>
                    </a:xfrm>
                    <a:prstGeom prst="rect">
                      <a:avLst/>
                    </a:prstGeom>
                  </pic:spPr>
                </pic:pic>
              </a:graphicData>
            </a:graphic>
          </wp:inline>
        </w:drawing>
      </w:r>
    </w:p>
    <w:p w:rsidR="006E00DC" w:rsidRDefault="006E00DC" w:rsidP="00862EC0"/>
    <w:p w:rsidR="0048139C" w:rsidRPr="000E553B" w:rsidRDefault="0048139C" w:rsidP="00862EC0">
      <w:pPr>
        <w:rPr>
          <w:u w:val="single"/>
        </w:rPr>
      </w:pPr>
      <w:r w:rsidRPr="000E553B">
        <w:rPr>
          <w:u w:val="single"/>
        </w:rPr>
        <w:lastRenderedPageBreak/>
        <w:t>Year 4</w:t>
      </w:r>
      <w:r w:rsidR="000E553B" w:rsidRPr="000E553B">
        <w:rPr>
          <w:u w:val="single"/>
        </w:rPr>
        <w:t xml:space="preserve"> Progress Report</w:t>
      </w:r>
    </w:p>
    <w:p w:rsidR="0048139C" w:rsidRDefault="0048139C" w:rsidP="00862EC0">
      <w:r>
        <w:rPr>
          <w:noProof/>
          <w:lang w:val="en-GB" w:eastAsia="en-GB"/>
        </w:rPr>
        <w:drawing>
          <wp:inline distT="0" distB="0" distL="0" distR="0" wp14:anchorId="07E4936A" wp14:editId="3109728D">
            <wp:extent cx="5943600" cy="857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857250"/>
                    </a:xfrm>
                    <a:prstGeom prst="rect">
                      <a:avLst/>
                    </a:prstGeom>
                  </pic:spPr>
                </pic:pic>
              </a:graphicData>
            </a:graphic>
          </wp:inline>
        </w:drawing>
      </w:r>
    </w:p>
    <w:p w:rsidR="00DB359C" w:rsidRDefault="00385B9C" w:rsidP="00862EC0">
      <w:r>
        <w:rPr>
          <w:noProof/>
          <w:lang w:val="en-GB" w:eastAsia="en-GB"/>
        </w:rPr>
        <w:drawing>
          <wp:anchor distT="0" distB="0" distL="114300" distR="114300" simplePos="0" relativeHeight="251658240" behindDoc="0" locked="0" layoutInCell="1" allowOverlap="1" wp14:anchorId="6BE6C453" wp14:editId="0F068CFB">
            <wp:simplePos x="0" y="0"/>
            <wp:positionH relativeFrom="column">
              <wp:posOffset>-123825</wp:posOffset>
            </wp:positionH>
            <wp:positionV relativeFrom="paragraph">
              <wp:posOffset>1774825</wp:posOffset>
            </wp:positionV>
            <wp:extent cx="5943600" cy="22307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2230755"/>
                    </a:xfrm>
                    <a:prstGeom prst="rect">
                      <a:avLst/>
                    </a:prstGeom>
                  </pic:spPr>
                </pic:pic>
              </a:graphicData>
            </a:graphic>
          </wp:anchor>
        </w:drawing>
      </w:r>
      <w:r w:rsidR="006E00DC">
        <w:t xml:space="preserve">Progress in Year 4 has been good. There are a significant number of children however who remain significantly behind </w:t>
      </w:r>
      <w:r w:rsidR="000E553B">
        <w:t>there ARE (see report below)</w:t>
      </w:r>
      <w:r w:rsidR="006E00DC">
        <w:t xml:space="preserve">. The T&amp;L coach will be moderating these children against the </w:t>
      </w:r>
      <w:r w:rsidR="00DB359C">
        <w:t xml:space="preserve">Framework for Year 2. The children are being taught in Otter class. The majority of that class have IEPs. Progress in mathematics for the more able (Beaver class) is slower than for the rest of the cohort although this is because the children are working towards Greater Depth expectations. Intervention groups have been identified for those children who are at risk of not meeting ARE. These groups DO NOT include the children in Otter class who are significantly behind ARE. They are being challenged to meet Y3E/Y3D levels. This will close the gap although the children in this class will remain an issue for CTPS moving into Year 5 and beyond. </w:t>
      </w:r>
      <w:r w:rsidR="000E553B">
        <w:t xml:space="preserve">Progress and attainment in mathematics remains a focus for Year 4. </w:t>
      </w:r>
    </w:p>
    <w:p w:rsidR="0048139C" w:rsidRPr="00DB359C" w:rsidRDefault="00DB359C" w:rsidP="00862EC0">
      <w:pPr>
        <w:rPr>
          <w:b/>
          <w:i/>
        </w:rPr>
      </w:pPr>
      <w:r>
        <w:t xml:space="preserve"> </w:t>
      </w:r>
    </w:p>
    <w:p w:rsidR="0048139C" w:rsidRDefault="0048139C" w:rsidP="00862EC0"/>
    <w:p w:rsidR="000E553B" w:rsidRDefault="000E553B" w:rsidP="0048139C">
      <w:pPr>
        <w:rPr>
          <w:b/>
        </w:rPr>
      </w:pPr>
    </w:p>
    <w:p w:rsidR="000E553B" w:rsidRDefault="000E553B" w:rsidP="0048139C">
      <w:pPr>
        <w:rPr>
          <w:b/>
        </w:rPr>
      </w:pPr>
    </w:p>
    <w:p w:rsidR="000E553B" w:rsidRDefault="000E553B" w:rsidP="0048139C">
      <w:pPr>
        <w:rPr>
          <w:b/>
        </w:rPr>
      </w:pPr>
    </w:p>
    <w:p w:rsidR="000E553B" w:rsidRDefault="000E553B" w:rsidP="0048139C">
      <w:pPr>
        <w:rPr>
          <w:b/>
        </w:rPr>
      </w:pPr>
    </w:p>
    <w:p w:rsidR="000E553B" w:rsidRDefault="000E553B" w:rsidP="0048139C">
      <w:pPr>
        <w:rPr>
          <w:b/>
        </w:rPr>
      </w:pPr>
    </w:p>
    <w:p w:rsidR="000E553B" w:rsidRDefault="000E553B" w:rsidP="0048139C">
      <w:pPr>
        <w:rPr>
          <w:b/>
        </w:rPr>
      </w:pPr>
    </w:p>
    <w:p w:rsidR="000E553B" w:rsidRDefault="000E553B" w:rsidP="0048139C">
      <w:pPr>
        <w:rPr>
          <w:b/>
        </w:rPr>
      </w:pPr>
    </w:p>
    <w:p w:rsidR="000E553B" w:rsidRDefault="000E553B" w:rsidP="0048139C">
      <w:pPr>
        <w:rPr>
          <w:b/>
        </w:rPr>
      </w:pPr>
    </w:p>
    <w:p w:rsidR="000E553B" w:rsidRDefault="000E553B" w:rsidP="0048139C">
      <w:pPr>
        <w:rPr>
          <w:b/>
        </w:rPr>
      </w:pPr>
    </w:p>
    <w:p w:rsidR="0048139C" w:rsidRPr="00DB359C" w:rsidRDefault="002A7C07" w:rsidP="0048139C">
      <w:pPr>
        <w:rPr>
          <w:b/>
        </w:rPr>
      </w:pPr>
      <w:r w:rsidRPr="00DB359C">
        <w:rPr>
          <w:b/>
        </w:rPr>
        <w:t>Year 4 Pupil Premiu</w:t>
      </w:r>
      <w:r w:rsidR="00DB359C" w:rsidRPr="00DB359C">
        <w:rPr>
          <w:b/>
        </w:rPr>
        <w:t>m</w:t>
      </w:r>
    </w:p>
    <w:p w:rsidR="0048139C" w:rsidRDefault="0048139C" w:rsidP="00862EC0">
      <w:r>
        <w:rPr>
          <w:noProof/>
          <w:lang w:val="en-GB" w:eastAsia="en-GB"/>
        </w:rPr>
        <w:drawing>
          <wp:inline distT="0" distB="0" distL="0" distR="0" wp14:anchorId="6B53FBB7" wp14:editId="706B1D8E">
            <wp:extent cx="5943600" cy="7410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741045"/>
                    </a:xfrm>
                    <a:prstGeom prst="rect">
                      <a:avLst/>
                    </a:prstGeom>
                  </pic:spPr>
                </pic:pic>
              </a:graphicData>
            </a:graphic>
          </wp:inline>
        </w:drawing>
      </w:r>
    </w:p>
    <w:p w:rsidR="00DB359C" w:rsidRDefault="00DB359C" w:rsidP="00DB359C">
      <w:r>
        <w:t xml:space="preserve">Progress of PP children in Year 4 is significantly better than their peers. </w:t>
      </w:r>
    </w:p>
    <w:p w:rsidR="00D260D8" w:rsidRDefault="00D260D8" w:rsidP="00862EC0">
      <w:pPr>
        <w:rPr>
          <w:b/>
        </w:rPr>
      </w:pPr>
    </w:p>
    <w:p w:rsidR="006A3731" w:rsidRDefault="006A3731" w:rsidP="00862EC0">
      <w:pPr>
        <w:rPr>
          <w:b/>
        </w:rPr>
      </w:pPr>
    </w:p>
    <w:p w:rsidR="006A3731" w:rsidRDefault="006A3731" w:rsidP="00862EC0">
      <w:pPr>
        <w:rPr>
          <w:b/>
        </w:rPr>
      </w:pPr>
    </w:p>
    <w:p w:rsidR="006A3731" w:rsidRDefault="006A3731" w:rsidP="00862EC0">
      <w:pPr>
        <w:rPr>
          <w:b/>
        </w:rPr>
      </w:pPr>
    </w:p>
    <w:p w:rsidR="006A3731" w:rsidRDefault="006A3731" w:rsidP="00862EC0">
      <w:pPr>
        <w:rPr>
          <w:b/>
        </w:rPr>
      </w:pPr>
    </w:p>
    <w:p w:rsidR="00DB359C" w:rsidRDefault="00385B9C" w:rsidP="00862EC0">
      <w:pPr>
        <w:rPr>
          <w:b/>
        </w:rPr>
      </w:pPr>
      <w:r>
        <w:rPr>
          <w:b/>
        </w:rPr>
        <w:lastRenderedPageBreak/>
        <w:t xml:space="preserve">Pupils at </w:t>
      </w:r>
      <w:r w:rsidR="00D260D8" w:rsidRPr="00D260D8">
        <w:rPr>
          <w:b/>
        </w:rPr>
        <w:t xml:space="preserve">ARE DECEMBER 2018 </w:t>
      </w:r>
      <w:r w:rsidR="00D260D8">
        <w:rPr>
          <w:b/>
        </w:rPr>
        <w:t>Year 4</w:t>
      </w:r>
    </w:p>
    <w:p w:rsidR="00D260D8" w:rsidRPr="00D260D8" w:rsidRDefault="00D260D8" w:rsidP="00862EC0">
      <w:pPr>
        <w:rPr>
          <w:b/>
        </w:rPr>
      </w:pPr>
      <w:r>
        <w:rPr>
          <w:noProof/>
          <w:lang w:val="en-GB" w:eastAsia="en-GB"/>
        </w:rPr>
        <w:drawing>
          <wp:inline distT="0" distB="0" distL="0" distR="0" wp14:anchorId="09C8A3EE" wp14:editId="39E1E8E5">
            <wp:extent cx="6325663"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2996" cy="1115717"/>
                    </a:xfrm>
                    <a:prstGeom prst="rect">
                      <a:avLst/>
                    </a:prstGeom>
                  </pic:spPr>
                </pic:pic>
              </a:graphicData>
            </a:graphic>
          </wp:inline>
        </w:drawing>
      </w:r>
    </w:p>
    <w:p w:rsidR="00D260D8" w:rsidRDefault="00D260D8" w:rsidP="00862EC0">
      <w:pPr>
        <w:rPr>
          <w:b/>
        </w:rPr>
      </w:pPr>
      <w:r>
        <w:rPr>
          <w:noProof/>
          <w:lang w:val="en-GB" w:eastAsia="en-GB"/>
        </w:rPr>
        <w:drawing>
          <wp:inline distT="0" distB="0" distL="0" distR="0" wp14:anchorId="1FE03110" wp14:editId="172428F3">
            <wp:extent cx="6381750" cy="24783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4062" cy="2487048"/>
                    </a:xfrm>
                    <a:prstGeom prst="rect">
                      <a:avLst/>
                    </a:prstGeom>
                  </pic:spPr>
                </pic:pic>
              </a:graphicData>
            </a:graphic>
          </wp:inline>
        </w:drawing>
      </w:r>
    </w:p>
    <w:p w:rsidR="00D260D8" w:rsidRPr="000E553B" w:rsidRDefault="000E553B" w:rsidP="00862EC0">
      <w:r w:rsidRPr="000E553B">
        <w:t>Note attainment in Otter class – 100% of children are not at ARE</w:t>
      </w:r>
      <w:r>
        <w:t xml:space="preserve"> and will not meet ARE. The aim is to narrow the gap and ensure continued and sustained progress.</w:t>
      </w:r>
      <w:r w:rsidR="002A4615">
        <w:t xml:space="preserve"> The children who are not at ARE in the Year group analysis are predominantly in Otter class. </w:t>
      </w:r>
    </w:p>
    <w:p w:rsidR="0048139C" w:rsidRDefault="00DB359C" w:rsidP="00862EC0">
      <w:pPr>
        <w:rPr>
          <w:b/>
        </w:rPr>
      </w:pPr>
      <w:r w:rsidRPr="00DB359C">
        <w:rPr>
          <w:b/>
        </w:rPr>
        <w:t xml:space="preserve">Year 5 </w:t>
      </w:r>
    </w:p>
    <w:p w:rsidR="00385B9C" w:rsidRPr="00DB359C" w:rsidRDefault="00385B9C" w:rsidP="00862EC0">
      <w:pPr>
        <w:rPr>
          <w:b/>
        </w:rPr>
      </w:pPr>
      <w:r>
        <w:rPr>
          <w:b/>
        </w:rPr>
        <w:t>Progress Report</w:t>
      </w:r>
    </w:p>
    <w:p w:rsidR="0048139C" w:rsidRDefault="0048139C" w:rsidP="00862EC0">
      <w:r>
        <w:rPr>
          <w:noProof/>
          <w:lang w:val="en-GB" w:eastAsia="en-GB"/>
        </w:rPr>
        <w:drawing>
          <wp:inline distT="0" distB="0" distL="0" distR="0" wp14:anchorId="6A0A5D3A" wp14:editId="26B7F165">
            <wp:extent cx="5943600" cy="1069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069975"/>
                    </a:xfrm>
                    <a:prstGeom prst="rect">
                      <a:avLst/>
                    </a:prstGeom>
                  </pic:spPr>
                </pic:pic>
              </a:graphicData>
            </a:graphic>
          </wp:inline>
        </w:drawing>
      </w:r>
    </w:p>
    <w:p w:rsidR="00851D23" w:rsidRDefault="00851D23" w:rsidP="00862EC0">
      <w:r>
        <w:rPr>
          <w:noProof/>
          <w:lang w:val="en-GB" w:eastAsia="en-GB"/>
        </w:rPr>
        <w:drawing>
          <wp:inline distT="0" distB="0" distL="0" distR="0" wp14:anchorId="462573B5" wp14:editId="79FC92F4">
            <wp:extent cx="5943600" cy="16103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610360"/>
                    </a:xfrm>
                    <a:prstGeom prst="rect">
                      <a:avLst/>
                    </a:prstGeom>
                  </pic:spPr>
                </pic:pic>
              </a:graphicData>
            </a:graphic>
          </wp:inline>
        </w:drawing>
      </w:r>
    </w:p>
    <w:p w:rsidR="006A3731" w:rsidRDefault="006A3731" w:rsidP="00862EC0"/>
    <w:p w:rsidR="006A3731" w:rsidRDefault="006A3731" w:rsidP="00862EC0"/>
    <w:p w:rsidR="00851D23" w:rsidRDefault="00851D23" w:rsidP="00862EC0">
      <w:r>
        <w:lastRenderedPageBreak/>
        <w:t>Year 5 Pupil Premium</w:t>
      </w:r>
    </w:p>
    <w:p w:rsidR="00851D23" w:rsidRDefault="00851D23" w:rsidP="00862EC0">
      <w:r>
        <w:rPr>
          <w:noProof/>
          <w:lang w:val="en-GB" w:eastAsia="en-GB"/>
        </w:rPr>
        <w:drawing>
          <wp:inline distT="0" distB="0" distL="0" distR="0" wp14:anchorId="48CCD32F" wp14:editId="184B9B7D">
            <wp:extent cx="5943600" cy="85280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852805"/>
                    </a:xfrm>
                    <a:prstGeom prst="rect">
                      <a:avLst/>
                    </a:prstGeom>
                  </pic:spPr>
                </pic:pic>
              </a:graphicData>
            </a:graphic>
          </wp:inline>
        </w:drawing>
      </w:r>
    </w:p>
    <w:p w:rsidR="00425924" w:rsidRDefault="00DB359C" w:rsidP="00862EC0">
      <w:r>
        <w:t>Progress of PP children is broadly in line with peers.</w:t>
      </w:r>
    </w:p>
    <w:p w:rsidR="00385B9C" w:rsidRDefault="00385B9C" w:rsidP="00862EC0">
      <w:pPr>
        <w:rPr>
          <w:b/>
        </w:rPr>
      </w:pPr>
      <w:r>
        <w:rPr>
          <w:b/>
        </w:rPr>
        <w:t>Y5 at ARE DECEMBER 2018</w:t>
      </w:r>
    </w:p>
    <w:p w:rsidR="00385B9C" w:rsidRPr="00385B9C" w:rsidRDefault="00385B9C" w:rsidP="00862EC0">
      <w:pPr>
        <w:rPr>
          <w:b/>
        </w:rPr>
      </w:pPr>
      <w:r w:rsidRPr="00385B9C">
        <w:rPr>
          <w:b/>
        </w:rPr>
        <w:t xml:space="preserve"> </w:t>
      </w:r>
      <w:r>
        <w:rPr>
          <w:noProof/>
          <w:lang w:val="en-GB" w:eastAsia="en-GB"/>
        </w:rPr>
        <w:drawing>
          <wp:inline distT="0" distB="0" distL="0" distR="0" wp14:anchorId="41CDE3AC" wp14:editId="78A24A75">
            <wp:extent cx="5943600" cy="1143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143000"/>
                    </a:xfrm>
                    <a:prstGeom prst="rect">
                      <a:avLst/>
                    </a:prstGeom>
                  </pic:spPr>
                </pic:pic>
              </a:graphicData>
            </a:graphic>
          </wp:inline>
        </w:drawing>
      </w:r>
    </w:p>
    <w:p w:rsidR="00385B9C" w:rsidRDefault="00385B9C" w:rsidP="00862EC0">
      <w:r>
        <w:rPr>
          <w:noProof/>
          <w:lang w:val="en-GB" w:eastAsia="en-GB"/>
        </w:rPr>
        <w:drawing>
          <wp:inline distT="0" distB="0" distL="0" distR="0" wp14:anchorId="7BF45D58" wp14:editId="22FF9FB7">
            <wp:extent cx="6534150" cy="1838777"/>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584960" cy="1853076"/>
                    </a:xfrm>
                    <a:prstGeom prst="rect">
                      <a:avLst/>
                    </a:prstGeom>
                  </pic:spPr>
                </pic:pic>
              </a:graphicData>
            </a:graphic>
          </wp:inline>
        </w:drawing>
      </w:r>
    </w:p>
    <w:p w:rsidR="00385B9C" w:rsidRDefault="00385B9C" w:rsidP="00385B9C">
      <w:r>
        <w:t xml:space="preserve">Intervention groups have been identified for children who are at risk of not meeting ARE. </w:t>
      </w:r>
    </w:p>
    <w:p w:rsidR="00385B9C" w:rsidRDefault="00385B9C" w:rsidP="00862EC0"/>
    <w:p w:rsidR="00164482" w:rsidRDefault="00164482" w:rsidP="00862EC0">
      <w:r>
        <w:t>Year 5</w:t>
      </w:r>
      <w:r w:rsidR="002A7C07">
        <w:t xml:space="preserve"> PP</w:t>
      </w:r>
      <w:r>
        <w:t xml:space="preserve">  progress</w:t>
      </w:r>
      <w:r w:rsidR="00425924">
        <w:t xml:space="preserve">                                                                                                                 </w:t>
      </w:r>
      <w:r>
        <w:t xml:space="preserve">                       </w:t>
      </w:r>
    </w:p>
    <w:tbl>
      <w:tblPr>
        <w:tblStyle w:val="TableGrid"/>
        <w:tblW w:w="0" w:type="auto"/>
        <w:tblLook w:val="04A0" w:firstRow="1" w:lastRow="0" w:firstColumn="1" w:lastColumn="0" w:noHBand="0" w:noVBand="1"/>
      </w:tblPr>
      <w:tblGrid>
        <w:gridCol w:w="2337"/>
        <w:gridCol w:w="2337"/>
        <w:gridCol w:w="2338"/>
        <w:gridCol w:w="2338"/>
      </w:tblGrid>
      <w:tr w:rsidR="00164482" w:rsidTr="00266779">
        <w:tc>
          <w:tcPr>
            <w:tcW w:w="2337" w:type="dxa"/>
          </w:tcPr>
          <w:p w:rsidR="00164482" w:rsidRDefault="00164482" w:rsidP="00266779"/>
        </w:tc>
        <w:tc>
          <w:tcPr>
            <w:tcW w:w="2337" w:type="dxa"/>
          </w:tcPr>
          <w:p w:rsidR="00164482" w:rsidRDefault="00164482" w:rsidP="00266779">
            <w:r>
              <w:t>Writing</w:t>
            </w:r>
          </w:p>
        </w:tc>
        <w:tc>
          <w:tcPr>
            <w:tcW w:w="2338" w:type="dxa"/>
          </w:tcPr>
          <w:p w:rsidR="00164482" w:rsidRDefault="00164482" w:rsidP="00266779">
            <w:r>
              <w:t>Reading</w:t>
            </w:r>
          </w:p>
        </w:tc>
        <w:tc>
          <w:tcPr>
            <w:tcW w:w="2338" w:type="dxa"/>
          </w:tcPr>
          <w:p w:rsidR="00164482" w:rsidRDefault="00164482" w:rsidP="00266779">
            <w:r>
              <w:t>Maths</w:t>
            </w:r>
          </w:p>
        </w:tc>
      </w:tr>
      <w:tr w:rsidR="00164482" w:rsidTr="00266779">
        <w:tc>
          <w:tcPr>
            <w:tcW w:w="2337" w:type="dxa"/>
          </w:tcPr>
          <w:p w:rsidR="00164482" w:rsidRDefault="00164482" w:rsidP="00266779">
            <w:r>
              <w:t>YB</w:t>
            </w:r>
          </w:p>
        </w:tc>
        <w:tc>
          <w:tcPr>
            <w:tcW w:w="2337" w:type="dxa"/>
          </w:tcPr>
          <w:p w:rsidR="00164482" w:rsidRDefault="00164482" w:rsidP="00266779">
            <w:r>
              <w:t>2</w:t>
            </w:r>
          </w:p>
        </w:tc>
        <w:tc>
          <w:tcPr>
            <w:tcW w:w="2338" w:type="dxa"/>
          </w:tcPr>
          <w:p w:rsidR="00164482" w:rsidRDefault="00164482" w:rsidP="00266779">
            <w:r>
              <w:t>2</w:t>
            </w:r>
          </w:p>
        </w:tc>
        <w:tc>
          <w:tcPr>
            <w:tcW w:w="2338" w:type="dxa"/>
          </w:tcPr>
          <w:p w:rsidR="00164482" w:rsidRDefault="00164482" w:rsidP="00266779">
            <w:r>
              <w:t>1</w:t>
            </w:r>
          </w:p>
        </w:tc>
      </w:tr>
      <w:tr w:rsidR="00164482" w:rsidTr="00266779">
        <w:tc>
          <w:tcPr>
            <w:tcW w:w="2337" w:type="dxa"/>
          </w:tcPr>
          <w:p w:rsidR="00164482" w:rsidRDefault="00164482" w:rsidP="00266779">
            <w:r>
              <w:t>SC</w:t>
            </w:r>
          </w:p>
        </w:tc>
        <w:tc>
          <w:tcPr>
            <w:tcW w:w="2337" w:type="dxa"/>
          </w:tcPr>
          <w:p w:rsidR="00164482" w:rsidRDefault="00164482" w:rsidP="00266779">
            <w:r>
              <w:t>2</w:t>
            </w:r>
          </w:p>
        </w:tc>
        <w:tc>
          <w:tcPr>
            <w:tcW w:w="2338" w:type="dxa"/>
          </w:tcPr>
          <w:p w:rsidR="00164482" w:rsidRDefault="00164482" w:rsidP="00266779">
            <w:r>
              <w:t>2</w:t>
            </w:r>
          </w:p>
        </w:tc>
        <w:tc>
          <w:tcPr>
            <w:tcW w:w="2338" w:type="dxa"/>
          </w:tcPr>
          <w:p w:rsidR="00164482" w:rsidRDefault="00164482" w:rsidP="00266779">
            <w:r>
              <w:t>1</w:t>
            </w:r>
          </w:p>
        </w:tc>
      </w:tr>
      <w:tr w:rsidR="00164482" w:rsidTr="00266779">
        <w:tc>
          <w:tcPr>
            <w:tcW w:w="2337" w:type="dxa"/>
          </w:tcPr>
          <w:p w:rsidR="00164482" w:rsidRDefault="00164482" w:rsidP="00266779">
            <w:r>
              <w:t>EC</w:t>
            </w:r>
          </w:p>
        </w:tc>
        <w:tc>
          <w:tcPr>
            <w:tcW w:w="2337" w:type="dxa"/>
          </w:tcPr>
          <w:p w:rsidR="00164482" w:rsidRDefault="00164482" w:rsidP="00266779">
            <w:r>
              <w:t>2</w:t>
            </w:r>
          </w:p>
        </w:tc>
        <w:tc>
          <w:tcPr>
            <w:tcW w:w="2338" w:type="dxa"/>
          </w:tcPr>
          <w:p w:rsidR="00164482" w:rsidRDefault="00164482" w:rsidP="00266779">
            <w:r>
              <w:t>2</w:t>
            </w:r>
          </w:p>
        </w:tc>
        <w:tc>
          <w:tcPr>
            <w:tcW w:w="2338" w:type="dxa"/>
          </w:tcPr>
          <w:p w:rsidR="00164482" w:rsidRDefault="00164482" w:rsidP="00266779">
            <w:r>
              <w:t>1</w:t>
            </w:r>
          </w:p>
        </w:tc>
      </w:tr>
      <w:tr w:rsidR="00164482" w:rsidTr="00266779">
        <w:tc>
          <w:tcPr>
            <w:tcW w:w="2337" w:type="dxa"/>
          </w:tcPr>
          <w:p w:rsidR="00164482" w:rsidRDefault="00164482" w:rsidP="00266779">
            <w:r>
              <w:t>MJ</w:t>
            </w:r>
          </w:p>
        </w:tc>
        <w:tc>
          <w:tcPr>
            <w:tcW w:w="2337" w:type="dxa"/>
          </w:tcPr>
          <w:p w:rsidR="00164482" w:rsidRDefault="00164482" w:rsidP="00266779">
            <w:r>
              <w:t>1</w:t>
            </w:r>
          </w:p>
        </w:tc>
        <w:tc>
          <w:tcPr>
            <w:tcW w:w="2338" w:type="dxa"/>
          </w:tcPr>
          <w:p w:rsidR="00164482" w:rsidRDefault="00164482" w:rsidP="00266779">
            <w:r>
              <w:t>1</w:t>
            </w:r>
          </w:p>
        </w:tc>
        <w:tc>
          <w:tcPr>
            <w:tcW w:w="2338" w:type="dxa"/>
          </w:tcPr>
          <w:p w:rsidR="00164482" w:rsidRDefault="00164482" w:rsidP="00266779">
            <w:r>
              <w:t>1</w:t>
            </w:r>
          </w:p>
        </w:tc>
      </w:tr>
      <w:tr w:rsidR="00164482" w:rsidTr="00266779">
        <w:tc>
          <w:tcPr>
            <w:tcW w:w="2337" w:type="dxa"/>
          </w:tcPr>
          <w:p w:rsidR="00164482" w:rsidRDefault="00164482" w:rsidP="00266779">
            <w:r>
              <w:t>AL</w:t>
            </w:r>
          </w:p>
        </w:tc>
        <w:tc>
          <w:tcPr>
            <w:tcW w:w="2337" w:type="dxa"/>
          </w:tcPr>
          <w:p w:rsidR="00164482" w:rsidRDefault="00164482" w:rsidP="00266779">
            <w:r>
              <w:t>4</w:t>
            </w:r>
          </w:p>
        </w:tc>
        <w:tc>
          <w:tcPr>
            <w:tcW w:w="2338" w:type="dxa"/>
          </w:tcPr>
          <w:p w:rsidR="00164482" w:rsidRDefault="00164482" w:rsidP="00266779">
            <w:r>
              <w:t>2</w:t>
            </w:r>
          </w:p>
        </w:tc>
        <w:tc>
          <w:tcPr>
            <w:tcW w:w="2338" w:type="dxa"/>
          </w:tcPr>
          <w:p w:rsidR="00164482" w:rsidRDefault="00164482" w:rsidP="00266779">
            <w:r>
              <w:t>1</w:t>
            </w:r>
          </w:p>
        </w:tc>
      </w:tr>
      <w:tr w:rsidR="00164482" w:rsidTr="00266779">
        <w:tc>
          <w:tcPr>
            <w:tcW w:w="2337" w:type="dxa"/>
          </w:tcPr>
          <w:p w:rsidR="00164482" w:rsidRDefault="00164482" w:rsidP="00266779">
            <w:r>
              <w:t>LS</w:t>
            </w:r>
          </w:p>
        </w:tc>
        <w:tc>
          <w:tcPr>
            <w:tcW w:w="2337" w:type="dxa"/>
          </w:tcPr>
          <w:p w:rsidR="00164482" w:rsidRDefault="00164482" w:rsidP="00266779">
            <w:r>
              <w:t>1</w:t>
            </w:r>
          </w:p>
        </w:tc>
        <w:tc>
          <w:tcPr>
            <w:tcW w:w="2338" w:type="dxa"/>
          </w:tcPr>
          <w:p w:rsidR="00164482" w:rsidRDefault="00164482" w:rsidP="00266779">
            <w:r>
              <w:t>1</w:t>
            </w:r>
          </w:p>
        </w:tc>
        <w:tc>
          <w:tcPr>
            <w:tcW w:w="2338" w:type="dxa"/>
          </w:tcPr>
          <w:p w:rsidR="00164482" w:rsidRDefault="00164482" w:rsidP="00266779">
            <w:r>
              <w:t>2</w:t>
            </w:r>
          </w:p>
        </w:tc>
      </w:tr>
      <w:tr w:rsidR="00D56F88" w:rsidTr="00266779">
        <w:tc>
          <w:tcPr>
            <w:tcW w:w="2337" w:type="dxa"/>
          </w:tcPr>
          <w:p w:rsidR="00D56F88" w:rsidRDefault="00D56F88" w:rsidP="00266779"/>
        </w:tc>
        <w:tc>
          <w:tcPr>
            <w:tcW w:w="2337" w:type="dxa"/>
          </w:tcPr>
          <w:p w:rsidR="00D56F88" w:rsidRDefault="00D56F88" w:rsidP="00266779">
            <w:r>
              <w:t>2 pts average progress Vs 1.3 year group-</w:t>
            </w:r>
            <w:r w:rsidRPr="00044523">
              <w:rPr>
                <w:highlight w:val="green"/>
              </w:rPr>
              <w:t xml:space="preserve"> exceeding</w:t>
            </w:r>
          </w:p>
        </w:tc>
        <w:tc>
          <w:tcPr>
            <w:tcW w:w="2338" w:type="dxa"/>
          </w:tcPr>
          <w:p w:rsidR="00D56F88" w:rsidRDefault="00D56F88" w:rsidP="00266779">
            <w:r>
              <w:t>1.6 average points progress VS 1.7 year group</w:t>
            </w:r>
            <w:r>
              <w:rPr>
                <w:b/>
              </w:rPr>
              <w:t xml:space="preserve"> broadly in line</w:t>
            </w:r>
          </w:p>
        </w:tc>
        <w:tc>
          <w:tcPr>
            <w:tcW w:w="2338" w:type="dxa"/>
          </w:tcPr>
          <w:p w:rsidR="00D56F88" w:rsidRDefault="00D56F88" w:rsidP="00266779">
            <w:r>
              <w:t>1.1 average pts progress Vs 0.9 year group-</w:t>
            </w:r>
            <w:r w:rsidRPr="00044523">
              <w:rPr>
                <w:highlight w:val="green"/>
              </w:rPr>
              <w:t xml:space="preserve"> exceeding</w:t>
            </w:r>
          </w:p>
        </w:tc>
      </w:tr>
    </w:tbl>
    <w:p w:rsidR="00425924" w:rsidRDefault="00425924" w:rsidP="00862EC0"/>
    <w:p w:rsidR="00D260D8" w:rsidRDefault="00D260D8" w:rsidP="00862EC0"/>
    <w:p w:rsidR="00D260D8" w:rsidRDefault="00D260D8" w:rsidP="00862EC0"/>
    <w:p w:rsidR="006A3731" w:rsidRDefault="006A3731" w:rsidP="00862EC0"/>
    <w:p w:rsidR="006A3731" w:rsidRDefault="006A3731" w:rsidP="00862EC0"/>
    <w:p w:rsidR="00425924" w:rsidRDefault="00164482" w:rsidP="00862EC0">
      <w:r>
        <w:t xml:space="preserve">Year 4 </w:t>
      </w:r>
      <w:r w:rsidR="00425924">
        <w:t>PP progress</w:t>
      </w:r>
      <w:r w:rsidR="00044523">
        <w:t xml:space="preserve"> </w:t>
      </w:r>
    </w:p>
    <w:tbl>
      <w:tblPr>
        <w:tblStyle w:val="TableGrid"/>
        <w:tblW w:w="0" w:type="auto"/>
        <w:tblLook w:val="04A0" w:firstRow="1" w:lastRow="0" w:firstColumn="1" w:lastColumn="0" w:noHBand="0" w:noVBand="1"/>
      </w:tblPr>
      <w:tblGrid>
        <w:gridCol w:w="2337"/>
        <w:gridCol w:w="2337"/>
        <w:gridCol w:w="2338"/>
        <w:gridCol w:w="2338"/>
      </w:tblGrid>
      <w:tr w:rsidR="00425924" w:rsidTr="00425924">
        <w:tc>
          <w:tcPr>
            <w:tcW w:w="2337" w:type="dxa"/>
          </w:tcPr>
          <w:p w:rsidR="00425924" w:rsidRDefault="00425924" w:rsidP="00862EC0"/>
        </w:tc>
        <w:tc>
          <w:tcPr>
            <w:tcW w:w="2337" w:type="dxa"/>
          </w:tcPr>
          <w:p w:rsidR="00425924" w:rsidRDefault="00425924" w:rsidP="00862EC0">
            <w:r>
              <w:t>Writing</w:t>
            </w:r>
          </w:p>
        </w:tc>
        <w:tc>
          <w:tcPr>
            <w:tcW w:w="2338" w:type="dxa"/>
          </w:tcPr>
          <w:p w:rsidR="00425924" w:rsidRDefault="00425924" w:rsidP="00862EC0">
            <w:r>
              <w:t>Reading</w:t>
            </w:r>
          </w:p>
        </w:tc>
        <w:tc>
          <w:tcPr>
            <w:tcW w:w="2338" w:type="dxa"/>
          </w:tcPr>
          <w:p w:rsidR="00425924" w:rsidRDefault="00425924" w:rsidP="00862EC0">
            <w:r>
              <w:t>Maths</w:t>
            </w:r>
          </w:p>
        </w:tc>
      </w:tr>
      <w:tr w:rsidR="00425924" w:rsidTr="00425924">
        <w:tc>
          <w:tcPr>
            <w:tcW w:w="2337" w:type="dxa"/>
          </w:tcPr>
          <w:p w:rsidR="00425924" w:rsidRDefault="00425924" w:rsidP="00862EC0">
            <w:r>
              <w:t>PBJ</w:t>
            </w:r>
          </w:p>
        </w:tc>
        <w:tc>
          <w:tcPr>
            <w:tcW w:w="2337" w:type="dxa"/>
          </w:tcPr>
          <w:p w:rsidR="00425924" w:rsidRDefault="00425924" w:rsidP="00862EC0">
            <w:r>
              <w:t>2</w:t>
            </w:r>
          </w:p>
        </w:tc>
        <w:tc>
          <w:tcPr>
            <w:tcW w:w="2338" w:type="dxa"/>
          </w:tcPr>
          <w:p w:rsidR="00425924" w:rsidRDefault="00425924" w:rsidP="00862EC0">
            <w:r>
              <w:t>2</w:t>
            </w:r>
          </w:p>
        </w:tc>
        <w:tc>
          <w:tcPr>
            <w:tcW w:w="2338" w:type="dxa"/>
          </w:tcPr>
          <w:p w:rsidR="00425924" w:rsidRDefault="00425924" w:rsidP="00862EC0">
            <w:r>
              <w:t>1</w:t>
            </w:r>
          </w:p>
        </w:tc>
      </w:tr>
      <w:tr w:rsidR="00425924" w:rsidTr="00425924">
        <w:tc>
          <w:tcPr>
            <w:tcW w:w="2337" w:type="dxa"/>
          </w:tcPr>
          <w:p w:rsidR="00425924" w:rsidRDefault="00425924" w:rsidP="00862EC0">
            <w:r>
              <w:t>LC</w:t>
            </w:r>
          </w:p>
        </w:tc>
        <w:tc>
          <w:tcPr>
            <w:tcW w:w="2337" w:type="dxa"/>
          </w:tcPr>
          <w:p w:rsidR="00425924" w:rsidRDefault="00425924" w:rsidP="00862EC0">
            <w:r>
              <w:t>2</w:t>
            </w:r>
          </w:p>
        </w:tc>
        <w:tc>
          <w:tcPr>
            <w:tcW w:w="2338" w:type="dxa"/>
          </w:tcPr>
          <w:p w:rsidR="00425924" w:rsidRDefault="00425924" w:rsidP="00862EC0">
            <w:r>
              <w:t>2</w:t>
            </w:r>
          </w:p>
        </w:tc>
        <w:tc>
          <w:tcPr>
            <w:tcW w:w="2338" w:type="dxa"/>
          </w:tcPr>
          <w:p w:rsidR="00425924" w:rsidRDefault="00425924" w:rsidP="00862EC0">
            <w:r>
              <w:t>1</w:t>
            </w:r>
          </w:p>
        </w:tc>
      </w:tr>
      <w:tr w:rsidR="00425924" w:rsidTr="00425924">
        <w:tc>
          <w:tcPr>
            <w:tcW w:w="2337" w:type="dxa"/>
          </w:tcPr>
          <w:p w:rsidR="00425924" w:rsidRDefault="00425924" w:rsidP="00862EC0">
            <w:r>
              <w:t>IEN</w:t>
            </w:r>
          </w:p>
        </w:tc>
        <w:tc>
          <w:tcPr>
            <w:tcW w:w="2337" w:type="dxa"/>
          </w:tcPr>
          <w:p w:rsidR="00425924" w:rsidRDefault="00425924" w:rsidP="00862EC0">
            <w:r>
              <w:t>2</w:t>
            </w:r>
          </w:p>
        </w:tc>
        <w:tc>
          <w:tcPr>
            <w:tcW w:w="2338" w:type="dxa"/>
          </w:tcPr>
          <w:p w:rsidR="00425924" w:rsidRDefault="00425924" w:rsidP="00862EC0">
            <w:r>
              <w:t>2</w:t>
            </w:r>
          </w:p>
        </w:tc>
        <w:tc>
          <w:tcPr>
            <w:tcW w:w="2338" w:type="dxa"/>
          </w:tcPr>
          <w:p w:rsidR="00425924" w:rsidRDefault="00425924" w:rsidP="00862EC0">
            <w:r>
              <w:t>1</w:t>
            </w:r>
          </w:p>
        </w:tc>
      </w:tr>
      <w:tr w:rsidR="00425924" w:rsidTr="00425924">
        <w:tc>
          <w:tcPr>
            <w:tcW w:w="2337" w:type="dxa"/>
          </w:tcPr>
          <w:p w:rsidR="00425924" w:rsidRDefault="00425924" w:rsidP="00862EC0">
            <w:r>
              <w:t>TS</w:t>
            </w:r>
          </w:p>
        </w:tc>
        <w:tc>
          <w:tcPr>
            <w:tcW w:w="2337" w:type="dxa"/>
          </w:tcPr>
          <w:p w:rsidR="00425924" w:rsidRDefault="00425924" w:rsidP="00862EC0">
            <w:r>
              <w:t>1</w:t>
            </w:r>
          </w:p>
        </w:tc>
        <w:tc>
          <w:tcPr>
            <w:tcW w:w="2338" w:type="dxa"/>
          </w:tcPr>
          <w:p w:rsidR="00425924" w:rsidRDefault="00425924" w:rsidP="00862EC0">
            <w:r>
              <w:t>1</w:t>
            </w:r>
          </w:p>
        </w:tc>
        <w:tc>
          <w:tcPr>
            <w:tcW w:w="2338" w:type="dxa"/>
          </w:tcPr>
          <w:p w:rsidR="00425924" w:rsidRDefault="00425924" w:rsidP="00862EC0">
            <w:r>
              <w:t>1</w:t>
            </w:r>
          </w:p>
        </w:tc>
      </w:tr>
      <w:tr w:rsidR="00044523" w:rsidTr="00425924">
        <w:tc>
          <w:tcPr>
            <w:tcW w:w="2337" w:type="dxa"/>
          </w:tcPr>
          <w:p w:rsidR="00044523" w:rsidRDefault="00044523" w:rsidP="00862EC0"/>
        </w:tc>
        <w:tc>
          <w:tcPr>
            <w:tcW w:w="2337" w:type="dxa"/>
          </w:tcPr>
          <w:p w:rsidR="00044523" w:rsidRDefault="00044523" w:rsidP="00D56F88">
            <w:r>
              <w:t xml:space="preserve"> 1.75 average pts progress Vs 1.3 year group </w:t>
            </w:r>
          </w:p>
        </w:tc>
        <w:tc>
          <w:tcPr>
            <w:tcW w:w="2338" w:type="dxa"/>
          </w:tcPr>
          <w:p w:rsidR="00044523" w:rsidRPr="00044523" w:rsidRDefault="00044523" w:rsidP="00D56F88">
            <w:pPr>
              <w:rPr>
                <w:b/>
              </w:rPr>
            </w:pPr>
            <w:r>
              <w:t xml:space="preserve">1.75 average pts progress VS 1.7 year group </w:t>
            </w:r>
          </w:p>
        </w:tc>
        <w:tc>
          <w:tcPr>
            <w:tcW w:w="2338" w:type="dxa"/>
          </w:tcPr>
          <w:p w:rsidR="00044523" w:rsidRDefault="00044523" w:rsidP="00862EC0">
            <w:r>
              <w:t xml:space="preserve">1 pt average pts progress VS 0.9 year group </w:t>
            </w:r>
            <w:r>
              <w:rPr>
                <w:b/>
              </w:rPr>
              <w:t>broadly in line</w:t>
            </w:r>
          </w:p>
        </w:tc>
      </w:tr>
    </w:tbl>
    <w:p w:rsidR="00425924" w:rsidRDefault="00425924" w:rsidP="00862EC0"/>
    <w:p w:rsidR="00425924" w:rsidRDefault="00164482" w:rsidP="00862EC0">
      <w:r>
        <w:t>Year 3</w:t>
      </w:r>
      <w:r w:rsidR="00425924">
        <w:t xml:space="preserve"> PP</w:t>
      </w:r>
      <w:r>
        <w:t xml:space="preserve"> progress</w:t>
      </w:r>
    </w:p>
    <w:tbl>
      <w:tblPr>
        <w:tblStyle w:val="TableGrid"/>
        <w:tblW w:w="0" w:type="auto"/>
        <w:tblLook w:val="04A0" w:firstRow="1" w:lastRow="0" w:firstColumn="1" w:lastColumn="0" w:noHBand="0" w:noVBand="1"/>
      </w:tblPr>
      <w:tblGrid>
        <w:gridCol w:w="2337"/>
        <w:gridCol w:w="1168"/>
        <w:gridCol w:w="1169"/>
        <w:gridCol w:w="2338"/>
        <w:gridCol w:w="2338"/>
      </w:tblGrid>
      <w:tr w:rsidR="00164482" w:rsidTr="00266779">
        <w:tc>
          <w:tcPr>
            <w:tcW w:w="2337" w:type="dxa"/>
          </w:tcPr>
          <w:p w:rsidR="00164482" w:rsidRDefault="00164482" w:rsidP="00266779"/>
        </w:tc>
        <w:tc>
          <w:tcPr>
            <w:tcW w:w="2337" w:type="dxa"/>
            <w:gridSpan w:val="2"/>
          </w:tcPr>
          <w:p w:rsidR="00164482" w:rsidRDefault="00164482" w:rsidP="00266779">
            <w:r>
              <w:t>Writing</w:t>
            </w:r>
          </w:p>
        </w:tc>
        <w:tc>
          <w:tcPr>
            <w:tcW w:w="2338" w:type="dxa"/>
          </w:tcPr>
          <w:p w:rsidR="00164482" w:rsidRDefault="00164482" w:rsidP="00266779">
            <w:r>
              <w:t>Reading</w:t>
            </w:r>
          </w:p>
        </w:tc>
        <w:tc>
          <w:tcPr>
            <w:tcW w:w="2338" w:type="dxa"/>
          </w:tcPr>
          <w:p w:rsidR="00164482" w:rsidRDefault="00164482" w:rsidP="00266779">
            <w:r>
              <w:t>Maths</w:t>
            </w:r>
          </w:p>
        </w:tc>
      </w:tr>
      <w:tr w:rsidR="00044523" w:rsidTr="009F6BC8">
        <w:tc>
          <w:tcPr>
            <w:tcW w:w="2337" w:type="dxa"/>
          </w:tcPr>
          <w:p w:rsidR="00044523" w:rsidRDefault="00044523" w:rsidP="00266779">
            <w:r>
              <w:t>JK</w:t>
            </w:r>
          </w:p>
        </w:tc>
        <w:tc>
          <w:tcPr>
            <w:tcW w:w="1168" w:type="dxa"/>
          </w:tcPr>
          <w:p w:rsidR="00044523" w:rsidRDefault="00044523" w:rsidP="00044523">
            <w:r>
              <w:t xml:space="preserve">0           </w:t>
            </w:r>
          </w:p>
        </w:tc>
        <w:tc>
          <w:tcPr>
            <w:tcW w:w="1169" w:type="dxa"/>
          </w:tcPr>
          <w:p w:rsidR="00044523" w:rsidRDefault="00044523" w:rsidP="00266779"/>
        </w:tc>
        <w:tc>
          <w:tcPr>
            <w:tcW w:w="2338" w:type="dxa"/>
          </w:tcPr>
          <w:p w:rsidR="00044523" w:rsidRDefault="00044523" w:rsidP="00044523">
            <w:r>
              <w:t xml:space="preserve">1            </w:t>
            </w:r>
          </w:p>
        </w:tc>
        <w:tc>
          <w:tcPr>
            <w:tcW w:w="2338" w:type="dxa"/>
          </w:tcPr>
          <w:p w:rsidR="00044523" w:rsidRDefault="00044523" w:rsidP="00044523">
            <w:r>
              <w:t xml:space="preserve">1            </w:t>
            </w:r>
          </w:p>
        </w:tc>
      </w:tr>
      <w:tr w:rsidR="00164482" w:rsidTr="00266779">
        <w:tc>
          <w:tcPr>
            <w:tcW w:w="2337" w:type="dxa"/>
          </w:tcPr>
          <w:p w:rsidR="00164482" w:rsidRDefault="00164482" w:rsidP="00266779">
            <w:r>
              <w:t>LR</w:t>
            </w:r>
          </w:p>
        </w:tc>
        <w:tc>
          <w:tcPr>
            <w:tcW w:w="2337" w:type="dxa"/>
            <w:gridSpan w:val="2"/>
          </w:tcPr>
          <w:p w:rsidR="00164482" w:rsidRDefault="00164482" w:rsidP="00266779">
            <w:r>
              <w:t>1</w:t>
            </w:r>
          </w:p>
        </w:tc>
        <w:tc>
          <w:tcPr>
            <w:tcW w:w="2338" w:type="dxa"/>
          </w:tcPr>
          <w:p w:rsidR="00164482" w:rsidRDefault="00164482" w:rsidP="00266779">
            <w:r>
              <w:t>1</w:t>
            </w:r>
          </w:p>
        </w:tc>
        <w:tc>
          <w:tcPr>
            <w:tcW w:w="2338" w:type="dxa"/>
          </w:tcPr>
          <w:p w:rsidR="00164482" w:rsidRDefault="00164482" w:rsidP="00266779">
            <w:r>
              <w:t>1</w:t>
            </w:r>
          </w:p>
        </w:tc>
      </w:tr>
      <w:tr w:rsidR="00044523" w:rsidTr="00266779">
        <w:tc>
          <w:tcPr>
            <w:tcW w:w="2337" w:type="dxa"/>
          </w:tcPr>
          <w:p w:rsidR="00044523" w:rsidRDefault="00044523" w:rsidP="00266779"/>
        </w:tc>
        <w:tc>
          <w:tcPr>
            <w:tcW w:w="2337" w:type="dxa"/>
            <w:gridSpan w:val="2"/>
          </w:tcPr>
          <w:p w:rsidR="00044523" w:rsidRDefault="00044523" w:rsidP="00266779">
            <w:r>
              <w:t xml:space="preserve">0.5 average pts progress Vs 0.6 year group. </w:t>
            </w:r>
            <w:r w:rsidRPr="00044523">
              <w:rPr>
                <w:b/>
              </w:rPr>
              <w:t>Broadly in line</w:t>
            </w:r>
          </w:p>
        </w:tc>
        <w:tc>
          <w:tcPr>
            <w:tcW w:w="2338" w:type="dxa"/>
          </w:tcPr>
          <w:p w:rsidR="00044523" w:rsidRDefault="00044523" w:rsidP="00266779">
            <w:r>
              <w:t xml:space="preserve">1 pt progress vs 0.7 year group – </w:t>
            </w:r>
            <w:r w:rsidRPr="00044523">
              <w:rPr>
                <w:highlight w:val="green"/>
              </w:rPr>
              <w:t>exceeding</w:t>
            </w:r>
          </w:p>
        </w:tc>
        <w:tc>
          <w:tcPr>
            <w:tcW w:w="2338" w:type="dxa"/>
          </w:tcPr>
          <w:p w:rsidR="00044523" w:rsidRDefault="00044523" w:rsidP="00044523">
            <w:r>
              <w:t xml:space="preserve">1 pt progress average vs year group  0.8 - </w:t>
            </w:r>
            <w:r w:rsidRPr="00044523">
              <w:rPr>
                <w:highlight w:val="green"/>
              </w:rPr>
              <w:t>exceeding</w:t>
            </w:r>
          </w:p>
        </w:tc>
      </w:tr>
    </w:tbl>
    <w:p w:rsidR="00164482" w:rsidRPr="00862EC0" w:rsidRDefault="00164482" w:rsidP="00862EC0"/>
    <w:sectPr w:rsidR="00164482" w:rsidRPr="00862EC0" w:rsidSect="000E553B">
      <w:head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E02" w:rsidRDefault="00AB3E02" w:rsidP="00622E7C">
      <w:pPr>
        <w:spacing w:after="0" w:line="240" w:lineRule="auto"/>
      </w:pPr>
      <w:r>
        <w:separator/>
      </w:r>
    </w:p>
  </w:endnote>
  <w:endnote w:type="continuationSeparator" w:id="0">
    <w:p w:rsidR="00AB3E02" w:rsidRDefault="00AB3E02" w:rsidP="0062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E02" w:rsidRDefault="00AB3E02" w:rsidP="00622E7C">
      <w:pPr>
        <w:spacing w:after="0" w:line="240" w:lineRule="auto"/>
      </w:pPr>
      <w:r>
        <w:separator/>
      </w:r>
    </w:p>
  </w:footnote>
  <w:footnote w:type="continuationSeparator" w:id="0">
    <w:p w:rsidR="00AB3E02" w:rsidRDefault="00AB3E02" w:rsidP="00622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53B" w:rsidRPr="000E553B" w:rsidRDefault="000E553B">
    <w:pPr>
      <w:pStyle w:val="Header"/>
      <w:rPr>
        <w:sz w:val="24"/>
      </w:rPr>
    </w:pPr>
    <w:r w:rsidRPr="000E553B">
      <w:rPr>
        <w:sz w:val="24"/>
      </w:rPr>
      <w:t>Middle Phase</w:t>
    </w:r>
  </w:p>
  <w:p w:rsidR="00622E7C" w:rsidRPr="000E553B" w:rsidRDefault="00622E7C">
    <w:pPr>
      <w:pStyle w:val="Header"/>
      <w:rPr>
        <w:sz w:val="24"/>
      </w:rPr>
    </w:pPr>
    <w:r w:rsidRPr="000E553B">
      <w:rPr>
        <w:sz w:val="24"/>
      </w:rPr>
      <w:t>Governors Report Autumn Term 2018/19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EC0"/>
    <w:rsid w:val="00044523"/>
    <w:rsid w:val="000E553B"/>
    <w:rsid w:val="00164482"/>
    <w:rsid w:val="001909CD"/>
    <w:rsid w:val="001B1E55"/>
    <w:rsid w:val="001D5B8F"/>
    <w:rsid w:val="002A4615"/>
    <w:rsid w:val="002A7C07"/>
    <w:rsid w:val="00346E20"/>
    <w:rsid w:val="00385B9C"/>
    <w:rsid w:val="00425924"/>
    <w:rsid w:val="00481278"/>
    <w:rsid w:val="0048139C"/>
    <w:rsid w:val="00622E7C"/>
    <w:rsid w:val="006A3731"/>
    <w:rsid w:val="006E00DC"/>
    <w:rsid w:val="007034AA"/>
    <w:rsid w:val="00711BDA"/>
    <w:rsid w:val="00851D23"/>
    <w:rsid w:val="00862EC0"/>
    <w:rsid w:val="008E4507"/>
    <w:rsid w:val="0098296E"/>
    <w:rsid w:val="00A54321"/>
    <w:rsid w:val="00AB3E02"/>
    <w:rsid w:val="00B31B1B"/>
    <w:rsid w:val="00D260D8"/>
    <w:rsid w:val="00D56F88"/>
    <w:rsid w:val="00D85B08"/>
    <w:rsid w:val="00DB359C"/>
    <w:rsid w:val="00EE4F27"/>
    <w:rsid w:val="00FB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D09C6-DA4C-4385-94E7-88F288F7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2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E7C"/>
  </w:style>
  <w:style w:type="paragraph" w:styleId="Footer">
    <w:name w:val="footer"/>
    <w:basedOn w:val="Normal"/>
    <w:link w:val="FooterChar"/>
    <w:uiPriority w:val="99"/>
    <w:unhideWhenUsed/>
    <w:rsid w:val="00622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E7C"/>
  </w:style>
  <w:style w:type="character" w:styleId="CommentReference">
    <w:name w:val="annotation reference"/>
    <w:basedOn w:val="DefaultParagraphFont"/>
    <w:uiPriority w:val="99"/>
    <w:semiHidden/>
    <w:unhideWhenUsed/>
    <w:rsid w:val="000E553B"/>
    <w:rPr>
      <w:sz w:val="16"/>
      <w:szCs w:val="16"/>
    </w:rPr>
  </w:style>
  <w:style w:type="paragraph" w:styleId="CommentText">
    <w:name w:val="annotation text"/>
    <w:basedOn w:val="Normal"/>
    <w:link w:val="CommentTextChar"/>
    <w:uiPriority w:val="99"/>
    <w:semiHidden/>
    <w:unhideWhenUsed/>
    <w:rsid w:val="000E553B"/>
    <w:pPr>
      <w:spacing w:line="240" w:lineRule="auto"/>
    </w:pPr>
    <w:rPr>
      <w:sz w:val="20"/>
      <w:szCs w:val="20"/>
    </w:rPr>
  </w:style>
  <w:style w:type="character" w:customStyle="1" w:styleId="CommentTextChar">
    <w:name w:val="Comment Text Char"/>
    <w:basedOn w:val="DefaultParagraphFont"/>
    <w:link w:val="CommentText"/>
    <w:uiPriority w:val="99"/>
    <w:semiHidden/>
    <w:rsid w:val="000E553B"/>
    <w:rPr>
      <w:sz w:val="20"/>
      <w:szCs w:val="20"/>
    </w:rPr>
  </w:style>
  <w:style w:type="paragraph" w:styleId="CommentSubject">
    <w:name w:val="annotation subject"/>
    <w:basedOn w:val="CommentText"/>
    <w:next w:val="CommentText"/>
    <w:link w:val="CommentSubjectChar"/>
    <w:uiPriority w:val="99"/>
    <w:semiHidden/>
    <w:unhideWhenUsed/>
    <w:rsid w:val="000E553B"/>
    <w:rPr>
      <w:b/>
      <w:bCs/>
    </w:rPr>
  </w:style>
  <w:style w:type="character" w:customStyle="1" w:styleId="CommentSubjectChar">
    <w:name w:val="Comment Subject Char"/>
    <w:basedOn w:val="CommentTextChar"/>
    <w:link w:val="CommentSubject"/>
    <w:uiPriority w:val="99"/>
    <w:semiHidden/>
    <w:rsid w:val="000E553B"/>
    <w:rPr>
      <w:b/>
      <w:bCs/>
      <w:sz w:val="20"/>
      <w:szCs w:val="20"/>
    </w:rPr>
  </w:style>
  <w:style w:type="paragraph" w:styleId="BalloonText">
    <w:name w:val="Balloon Text"/>
    <w:basedOn w:val="Normal"/>
    <w:link w:val="BalloonTextChar"/>
    <w:uiPriority w:val="99"/>
    <w:semiHidden/>
    <w:unhideWhenUsed/>
    <w:rsid w:val="000E5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708</Words>
  <Characters>4039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Mitchell</dc:creator>
  <cp:keywords/>
  <dc:description/>
  <cp:lastModifiedBy>Cath Wadsworth</cp:lastModifiedBy>
  <cp:revision>2</cp:revision>
  <dcterms:created xsi:type="dcterms:W3CDTF">2018-12-21T08:11:00Z</dcterms:created>
  <dcterms:modified xsi:type="dcterms:W3CDTF">2018-12-21T08:11:00Z</dcterms:modified>
</cp:coreProperties>
</file>