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1A" w:rsidRPr="00047104" w:rsidRDefault="00073FD8">
      <w:pPr>
        <w:rPr>
          <w:rFonts w:ascii="Arial" w:hAnsi="Arial" w:cs="Arial"/>
          <w:b/>
          <w:sz w:val="24"/>
          <w:szCs w:val="24"/>
          <w:u w:val="single"/>
        </w:rPr>
      </w:pPr>
      <w:r>
        <w:rPr>
          <w:rFonts w:ascii="Arial" w:hAnsi="Arial" w:cs="Arial"/>
          <w:b/>
          <w:sz w:val="24"/>
          <w:szCs w:val="24"/>
          <w:u w:val="single"/>
        </w:rPr>
        <w:t>Governor</w:t>
      </w:r>
      <w:r w:rsidR="00047104" w:rsidRPr="00047104">
        <w:rPr>
          <w:rFonts w:ascii="Arial" w:hAnsi="Arial" w:cs="Arial"/>
          <w:b/>
          <w:sz w:val="24"/>
          <w:szCs w:val="24"/>
          <w:u w:val="single"/>
        </w:rPr>
        <w:t xml:space="preserve"> Report </w:t>
      </w:r>
      <w:r>
        <w:rPr>
          <w:rFonts w:ascii="Arial" w:hAnsi="Arial" w:cs="Arial"/>
          <w:b/>
          <w:sz w:val="24"/>
          <w:szCs w:val="24"/>
          <w:u w:val="single"/>
        </w:rPr>
        <w:t>March 2018</w:t>
      </w:r>
    </w:p>
    <w:p w:rsidR="0032288B" w:rsidRDefault="00073FD8">
      <w:pPr>
        <w:rPr>
          <w:rFonts w:ascii="Arial" w:hAnsi="Arial" w:cs="Arial"/>
          <w:sz w:val="24"/>
          <w:szCs w:val="24"/>
          <w:u w:val="single"/>
        </w:rPr>
      </w:pPr>
      <w:r>
        <w:rPr>
          <w:rFonts w:ascii="Arial" w:hAnsi="Arial" w:cs="Arial"/>
          <w:sz w:val="24"/>
          <w:szCs w:val="24"/>
          <w:u w:val="single"/>
        </w:rPr>
        <w:t>EYFS Data</w:t>
      </w:r>
    </w:p>
    <w:p w:rsidR="00073FD8" w:rsidRPr="00073FD8" w:rsidRDefault="00073FD8">
      <w:pPr>
        <w:rPr>
          <w:rFonts w:ascii="Arial" w:hAnsi="Arial" w:cs="Arial"/>
          <w:sz w:val="24"/>
          <w:szCs w:val="24"/>
        </w:rPr>
      </w:pPr>
      <w:r>
        <w:rPr>
          <w:rFonts w:ascii="Arial" w:hAnsi="Arial" w:cs="Arial"/>
          <w:sz w:val="24"/>
          <w:szCs w:val="24"/>
        </w:rPr>
        <w:t>You will remember in my previous report, that the Reception data was looking very low and required a lot of input from me.  We asked the Reception team to submit their data again before February half term and this is as follows:</w:t>
      </w:r>
    </w:p>
    <w:tbl>
      <w:tblPr>
        <w:tblStyle w:val="TableGrid"/>
        <w:tblW w:w="11594" w:type="dxa"/>
        <w:tblInd w:w="-5" w:type="dxa"/>
        <w:tblLook w:val="04A0" w:firstRow="1" w:lastRow="0" w:firstColumn="1" w:lastColumn="0" w:noHBand="0" w:noVBand="1"/>
      </w:tblPr>
      <w:tblGrid>
        <w:gridCol w:w="3114"/>
        <w:gridCol w:w="1790"/>
        <w:gridCol w:w="1910"/>
        <w:gridCol w:w="1737"/>
        <w:gridCol w:w="1480"/>
        <w:gridCol w:w="1563"/>
      </w:tblGrid>
      <w:tr w:rsidR="0032288B" w:rsidRPr="003E248E" w:rsidTr="00047104">
        <w:tc>
          <w:tcPr>
            <w:tcW w:w="3114" w:type="dxa"/>
          </w:tcPr>
          <w:p w:rsidR="0032288B" w:rsidRPr="003E248E" w:rsidRDefault="0032288B" w:rsidP="004768DE">
            <w:pPr>
              <w:widowControl w:val="0"/>
              <w:autoSpaceDE w:val="0"/>
              <w:autoSpaceDN w:val="0"/>
              <w:adjustRightInd w:val="0"/>
              <w:rPr>
                <w:rFonts w:ascii="Arial" w:hAnsi="Arial" w:cs="Arial"/>
                <w:b/>
                <w:sz w:val="24"/>
                <w:szCs w:val="24"/>
              </w:rPr>
            </w:pPr>
            <w:r w:rsidRPr="003E248E">
              <w:rPr>
                <w:rFonts w:ascii="Arial" w:hAnsi="Arial" w:cs="Arial"/>
                <w:b/>
                <w:sz w:val="24"/>
                <w:szCs w:val="24"/>
              </w:rPr>
              <w:t xml:space="preserve">Reception </w:t>
            </w:r>
          </w:p>
        </w:tc>
        <w:tc>
          <w:tcPr>
            <w:tcW w:w="1790" w:type="dxa"/>
          </w:tcPr>
          <w:p w:rsidR="0032288B" w:rsidRPr="003E248E"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Making Relationships</w:t>
            </w:r>
          </w:p>
        </w:tc>
        <w:tc>
          <w:tcPr>
            <w:tcW w:w="1910" w:type="dxa"/>
          </w:tcPr>
          <w:p w:rsidR="0032288B" w:rsidRPr="003E248E"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 xml:space="preserve">Self confidence </w:t>
            </w:r>
          </w:p>
        </w:tc>
        <w:tc>
          <w:tcPr>
            <w:tcW w:w="1737" w:type="dxa"/>
          </w:tcPr>
          <w:p w:rsidR="0032288B" w:rsidRPr="003E248E"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Managing Feelings</w:t>
            </w:r>
          </w:p>
        </w:tc>
        <w:tc>
          <w:tcPr>
            <w:tcW w:w="1480" w:type="dxa"/>
          </w:tcPr>
          <w:p w:rsidR="0032288B" w:rsidRPr="003E248E"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Moving and Handling</w:t>
            </w:r>
          </w:p>
        </w:tc>
        <w:tc>
          <w:tcPr>
            <w:tcW w:w="1563" w:type="dxa"/>
          </w:tcPr>
          <w:p w:rsidR="0032288B"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Health and self care</w:t>
            </w:r>
          </w:p>
        </w:tc>
      </w:tr>
      <w:tr w:rsidR="0032288B" w:rsidRPr="003E248E" w:rsidTr="00047104">
        <w:tc>
          <w:tcPr>
            <w:tcW w:w="3114"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84.3%</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77.1%</w:t>
            </w:r>
          </w:p>
        </w:tc>
        <w:tc>
          <w:tcPr>
            <w:tcW w:w="1737"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89.6%</w:t>
            </w:r>
          </w:p>
        </w:tc>
        <w:tc>
          <w:tcPr>
            <w:tcW w:w="148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98.6%</w:t>
            </w:r>
          </w:p>
        </w:tc>
        <w:tc>
          <w:tcPr>
            <w:tcW w:w="1563"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94.3%</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8.6%</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11.4%</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15.7%</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14.3%</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10%</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(3) ARE/ Average/ On track</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75.7%</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65.7%</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72.9%</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84.3%</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84.3%</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12.9%</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21.4%</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11.4%</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4.3%</w:t>
            </w:r>
          </w:p>
        </w:tc>
      </w:tr>
      <w:tr w:rsidR="0032288B" w:rsidRPr="003E248E" w:rsidTr="00073FD8">
        <w:trPr>
          <w:trHeight w:val="85"/>
        </w:trPr>
        <w:tc>
          <w:tcPr>
            <w:tcW w:w="3355" w:type="dxa"/>
          </w:tcPr>
          <w:p w:rsidR="0032288B" w:rsidRPr="003E248E" w:rsidRDefault="0032288B"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2.9%</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9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15.7%</w:t>
            </w:r>
          </w:p>
        </w:tc>
        <w:tc>
          <w:tcPr>
            <w:tcW w:w="1910"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22.9%</w:t>
            </w:r>
          </w:p>
        </w:tc>
        <w:tc>
          <w:tcPr>
            <w:tcW w:w="1509"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11.4%</w:t>
            </w:r>
          </w:p>
        </w:tc>
        <w:tc>
          <w:tcPr>
            <w:tcW w:w="1526" w:type="dxa"/>
          </w:tcPr>
          <w:p w:rsidR="0032288B" w:rsidRPr="003E248E"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5.7%</w:t>
            </w:r>
          </w:p>
        </w:tc>
      </w:tr>
      <w:tr w:rsidR="00047104" w:rsidRPr="003E248E" w:rsidTr="00E250B4">
        <w:tc>
          <w:tcPr>
            <w:tcW w:w="11594" w:type="dxa"/>
            <w:gridSpan w:val="6"/>
          </w:tcPr>
          <w:p w:rsidR="00047104" w:rsidRDefault="00047104" w:rsidP="004768DE">
            <w:pPr>
              <w:widowControl w:val="0"/>
              <w:autoSpaceDE w:val="0"/>
              <w:autoSpaceDN w:val="0"/>
              <w:adjustRightInd w:val="0"/>
              <w:rPr>
                <w:rFonts w:ascii="Arial" w:hAnsi="Arial" w:cs="Arial"/>
                <w:sz w:val="24"/>
                <w:szCs w:val="24"/>
              </w:rPr>
            </w:pP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p>
        </w:tc>
        <w:tc>
          <w:tcPr>
            <w:tcW w:w="1790" w:type="dxa"/>
          </w:tcPr>
          <w:p w:rsidR="0032288B" w:rsidRPr="0032288B"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Listening and Attention</w:t>
            </w:r>
          </w:p>
        </w:tc>
        <w:tc>
          <w:tcPr>
            <w:tcW w:w="1910" w:type="dxa"/>
          </w:tcPr>
          <w:p w:rsidR="0032288B" w:rsidRPr="0032288B" w:rsidRDefault="0032288B" w:rsidP="004768DE">
            <w:pPr>
              <w:widowControl w:val="0"/>
              <w:autoSpaceDE w:val="0"/>
              <w:autoSpaceDN w:val="0"/>
              <w:adjustRightInd w:val="0"/>
              <w:rPr>
                <w:rFonts w:ascii="Arial" w:hAnsi="Arial" w:cs="Arial"/>
                <w:b/>
                <w:sz w:val="24"/>
                <w:szCs w:val="24"/>
              </w:rPr>
            </w:pPr>
            <w:r w:rsidRPr="0032288B">
              <w:rPr>
                <w:rFonts w:ascii="Arial" w:hAnsi="Arial" w:cs="Arial"/>
                <w:b/>
                <w:sz w:val="24"/>
                <w:szCs w:val="24"/>
              </w:rPr>
              <w:t>Understanding</w:t>
            </w:r>
          </w:p>
        </w:tc>
        <w:tc>
          <w:tcPr>
            <w:tcW w:w="1509" w:type="dxa"/>
          </w:tcPr>
          <w:p w:rsidR="0032288B" w:rsidRPr="0032288B" w:rsidRDefault="0032288B" w:rsidP="004768DE">
            <w:pPr>
              <w:widowControl w:val="0"/>
              <w:autoSpaceDE w:val="0"/>
              <w:autoSpaceDN w:val="0"/>
              <w:adjustRightInd w:val="0"/>
              <w:rPr>
                <w:rFonts w:ascii="Arial" w:hAnsi="Arial" w:cs="Arial"/>
                <w:b/>
                <w:sz w:val="24"/>
                <w:szCs w:val="24"/>
              </w:rPr>
            </w:pPr>
            <w:r w:rsidRPr="0032288B">
              <w:rPr>
                <w:rFonts w:ascii="Arial" w:hAnsi="Arial" w:cs="Arial"/>
                <w:b/>
                <w:sz w:val="24"/>
                <w:szCs w:val="24"/>
              </w:rPr>
              <w:t>Speaking</w:t>
            </w:r>
          </w:p>
        </w:tc>
        <w:tc>
          <w:tcPr>
            <w:tcW w:w="1526" w:type="dxa"/>
          </w:tcPr>
          <w:p w:rsidR="0032288B" w:rsidRPr="0032288B"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Reading</w:t>
            </w:r>
          </w:p>
        </w:tc>
        <w:tc>
          <w:tcPr>
            <w:tcW w:w="1504" w:type="dxa"/>
          </w:tcPr>
          <w:p w:rsidR="0032288B" w:rsidRPr="0032288B" w:rsidRDefault="0032288B" w:rsidP="004768DE">
            <w:pPr>
              <w:widowControl w:val="0"/>
              <w:autoSpaceDE w:val="0"/>
              <w:autoSpaceDN w:val="0"/>
              <w:adjustRightInd w:val="0"/>
              <w:rPr>
                <w:rFonts w:ascii="Arial" w:hAnsi="Arial" w:cs="Arial"/>
                <w:b/>
                <w:sz w:val="24"/>
                <w:szCs w:val="24"/>
              </w:rPr>
            </w:pPr>
            <w:r>
              <w:rPr>
                <w:rFonts w:ascii="Arial" w:hAnsi="Arial" w:cs="Arial"/>
                <w:b/>
                <w:sz w:val="24"/>
                <w:szCs w:val="24"/>
              </w:rPr>
              <w:t>Writing</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90" w:type="dxa"/>
          </w:tcPr>
          <w:p w:rsidR="0032288B" w:rsidRP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72.9%</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74.3%</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70%</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62.9%</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21.4%</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22.9%</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25.7%</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25.7%</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(3) ARE/ Average/ On track</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51.4%</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51.4%</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44.3%</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40%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37.1%</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24.3%</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24.3%</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28.6%</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28.6%</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37.1%</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2.9%</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r>
      <w:tr w:rsidR="0032288B" w:rsidRPr="003E248E" w:rsidTr="0032288B">
        <w:tc>
          <w:tcPr>
            <w:tcW w:w="3355" w:type="dxa"/>
          </w:tcPr>
          <w:p w:rsidR="0032288B" w:rsidRPr="003E248E" w:rsidRDefault="0032288B"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9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27.1%</w:t>
            </w:r>
          </w:p>
        </w:tc>
        <w:tc>
          <w:tcPr>
            <w:tcW w:w="1910"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25.7%</w:t>
            </w:r>
          </w:p>
        </w:tc>
        <w:tc>
          <w:tcPr>
            <w:tcW w:w="1509"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30%</w:t>
            </w:r>
          </w:p>
        </w:tc>
        <w:tc>
          <w:tcPr>
            <w:tcW w:w="1526"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30%</w:t>
            </w:r>
          </w:p>
        </w:tc>
        <w:tc>
          <w:tcPr>
            <w:tcW w:w="1504" w:type="dxa"/>
          </w:tcPr>
          <w:p w:rsidR="0032288B"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37.1%</w:t>
            </w:r>
          </w:p>
        </w:tc>
      </w:tr>
      <w:tr w:rsidR="00047104" w:rsidRPr="003E248E" w:rsidTr="00660E3A">
        <w:tc>
          <w:tcPr>
            <w:tcW w:w="11594" w:type="dxa"/>
            <w:gridSpan w:val="6"/>
          </w:tcPr>
          <w:p w:rsidR="00047104" w:rsidRDefault="00047104" w:rsidP="004768DE">
            <w:pPr>
              <w:widowControl w:val="0"/>
              <w:autoSpaceDE w:val="0"/>
              <w:autoSpaceDN w:val="0"/>
              <w:adjustRightInd w:val="0"/>
              <w:rPr>
                <w:rFonts w:ascii="Arial" w:hAnsi="Arial" w:cs="Arial"/>
                <w:sz w:val="24"/>
                <w:szCs w:val="24"/>
              </w:rPr>
            </w:pPr>
          </w:p>
          <w:p w:rsidR="00047104" w:rsidRDefault="00047104" w:rsidP="004768DE">
            <w:pPr>
              <w:widowControl w:val="0"/>
              <w:autoSpaceDE w:val="0"/>
              <w:autoSpaceDN w:val="0"/>
              <w:adjustRightInd w:val="0"/>
              <w:rPr>
                <w:rFonts w:ascii="Arial" w:hAnsi="Arial" w:cs="Arial"/>
                <w:sz w:val="24"/>
                <w:szCs w:val="24"/>
              </w:rPr>
            </w:pPr>
          </w:p>
          <w:p w:rsidR="00047104" w:rsidRDefault="00047104" w:rsidP="004768DE">
            <w:pPr>
              <w:widowControl w:val="0"/>
              <w:autoSpaceDE w:val="0"/>
              <w:autoSpaceDN w:val="0"/>
              <w:adjustRightInd w:val="0"/>
              <w:rPr>
                <w:rFonts w:ascii="Arial" w:hAnsi="Arial" w:cs="Arial"/>
                <w:sz w:val="24"/>
                <w:szCs w:val="24"/>
              </w:rPr>
            </w:pPr>
          </w:p>
          <w:p w:rsidR="00047104" w:rsidRDefault="00047104" w:rsidP="004768DE">
            <w:pPr>
              <w:widowControl w:val="0"/>
              <w:autoSpaceDE w:val="0"/>
              <w:autoSpaceDN w:val="0"/>
              <w:adjustRightInd w:val="0"/>
              <w:rPr>
                <w:rFonts w:ascii="Arial" w:hAnsi="Arial" w:cs="Arial"/>
                <w:sz w:val="24"/>
                <w:szCs w:val="24"/>
              </w:rPr>
            </w:pPr>
          </w:p>
          <w:p w:rsidR="00047104" w:rsidRDefault="00047104" w:rsidP="004768DE">
            <w:pPr>
              <w:widowControl w:val="0"/>
              <w:autoSpaceDE w:val="0"/>
              <w:autoSpaceDN w:val="0"/>
              <w:adjustRightInd w:val="0"/>
              <w:rPr>
                <w:rFonts w:ascii="Arial" w:hAnsi="Arial" w:cs="Arial"/>
                <w:sz w:val="24"/>
                <w:szCs w:val="24"/>
              </w:rPr>
            </w:pP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sz w:val="24"/>
                <w:szCs w:val="24"/>
              </w:rPr>
            </w:pPr>
          </w:p>
        </w:tc>
        <w:tc>
          <w:tcPr>
            <w:tcW w:w="1790" w:type="dxa"/>
          </w:tcPr>
          <w:p w:rsidR="00047104" w:rsidRPr="00047104" w:rsidRDefault="00047104" w:rsidP="004768DE">
            <w:pPr>
              <w:widowControl w:val="0"/>
              <w:autoSpaceDE w:val="0"/>
              <w:autoSpaceDN w:val="0"/>
              <w:adjustRightInd w:val="0"/>
              <w:rPr>
                <w:rFonts w:ascii="Arial" w:hAnsi="Arial" w:cs="Arial"/>
                <w:b/>
                <w:sz w:val="24"/>
                <w:szCs w:val="24"/>
              </w:rPr>
            </w:pPr>
            <w:r>
              <w:rPr>
                <w:rFonts w:ascii="Arial" w:hAnsi="Arial" w:cs="Arial"/>
                <w:b/>
                <w:sz w:val="24"/>
                <w:szCs w:val="24"/>
              </w:rPr>
              <w:t>Numbers</w:t>
            </w:r>
          </w:p>
        </w:tc>
        <w:tc>
          <w:tcPr>
            <w:tcW w:w="1910" w:type="dxa"/>
          </w:tcPr>
          <w:p w:rsidR="00047104" w:rsidRPr="00047104" w:rsidRDefault="00047104" w:rsidP="004768DE">
            <w:pPr>
              <w:widowControl w:val="0"/>
              <w:autoSpaceDE w:val="0"/>
              <w:autoSpaceDN w:val="0"/>
              <w:adjustRightInd w:val="0"/>
              <w:rPr>
                <w:rFonts w:ascii="Arial" w:hAnsi="Arial" w:cs="Arial"/>
                <w:b/>
                <w:sz w:val="24"/>
                <w:szCs w:val="24"/>
              </w:rPr>
            </w:pPr>
            <w:r>
              <w:rPr>
                <w:rFonts w:ascii="Arial" w:hAnsi="Arial" w:cs="Arial"/>
                <w:b/>
                <w:sz w:val="24"/>
                <w:szCs w:val="24"/>
              </w:rPr>
              <w:t>Shape, Space and Measure</w:t>
            </w:r>
          </w:p>
        </w:tc>
        <w:tc>
          <w:tcPr>
            <w:tcW w:w="1509" w:type="dxa"/>
          </w:tcPr>
          <w:p w:rsidR="00047104" w:rsidRPr="00047104" w:rsidRDefault="00047104" w:rsidP="00047104">
            <w:pPr>
              <w:widowControl w:val="0"/>
              <w:autoSpaceDE w:val="0"/>
              <w:autoSpaceDN w:val="0"/>
              <w:adjustRightInd w:val="0"/>
              <w:rPr>
                <w:rFonts w:ascii="Arial" w:hAnsi="Arial" w:cs="Arial"/>
                <w:b/>
                <w:sz w:val="24"/>
                <w:szCs w:val="24"/>
              </w:rPr>
            </w:pPr>
            <w:r w:rsidRPr="00047104">
              <w:rPr>
                <w:rFonts w:ascii="Arial" w:hAnsi="Arial" w:cs="Arial"/>
                <w:b/>
                <w:sz w:val="24"/>
                <w:szCs w:val="24"/>
              </w:rPr>
              <w:t>People and Communities</w:t>
            </w:r>
          </w:p>
        </w:tc>
        <w:tc>
          <w:tcPr>
            <w:tcW w:w="1526" w:type="dxa"/>
          </w:tcPr>
          <w:p w:rsidR="00047104" w:rsidRPr="00047104" w:rsidRDefault="00047104" w:rsidP="004768DE">
            <w:pPr>
              <w:widowControl w:val="0"/>
              <w:autoSpaceDE w:val="0"/>
              <w:autoSpaceDN w:val="0"/>
              <w:adjustRightInd w:val="0"/>
              <w:rPr>
                <w:rFonts w:ascii="Arial" w:hAnsi="Arial" w:cs="Arial"/>
                <w:b/>
                <w:sz w:val="24"/>
                <w:szCs w:val="24"/>
              </w:rPr>
            </w:pPr>
            <w:r w:rsidRPr="00047104">
              <w:rPr>
                <w:rFonts w:ascii="Arial" w:hAnsi="Arial" w:cs="Arial"/>
                <w:b/>
                <w:sz w:val="24"/>
                <w:szCs w:val="24"/>
              </w:rPr>
              <w:t>The World</w:t>
            </w:r>
          </w:p>
        </w:tc>
        <w:tc>
          <w:tcPr>
            <w:tcW w:w="1504" w:type="dxa"/>
          </w:tcPr>
          <w:p w:rsidR="00047104" w:rsidRPr="00047104" w:rsidRDefault="00047104" w:rsidP="00047104">
            <w:pPr>
              <w:widowControl w:val="0"/>
              <w:autoSpaceDE w:val="0"/>
              <w:autoSpaceDN w:val="0"/>
              <w:adjustRightInd w:val="0"/>
              <w:rPr>
                <w:rFonts w:ascii="Arial" w:hAnsi="Arial" w:cs="Arial"/>
                <w:b/>
                <w:sz w:val="24"/>
                <w:szCs w:val="24"/>
              </w:rPr>
            </w:pPr>
            <w:r>
              <w:rPr>
                <w:rFonts w:ascii="Arial" w:hAnsi="Arial" w:cs="Arial"/>
                <w:b/>
                <w:sz w:val="24"/>
                <w:szCs w:val="24"/>
              </w:rPr>
              <w:t>Technology</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80%</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78.6%</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75.7%</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72.5%</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88.6%</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28.6%</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14.3%</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38.6%</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39.1%</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28.6%</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(3) ARE/ Average/ On track</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51.4%</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64.3%</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37.1%</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33.3%</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60%</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18.6%</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20%</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22.9%</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26.1%</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11.4%</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r>
      <w:tr w:rsidR="00047104" w:rsidRPr="003E248E" w:rsidTr="0032288B">
        <w:tc>
          <w:tcPr>
            <w:tcW w:w="3355"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20%</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21.4%</w:t>
            </w:r>
          </w:p>
        </w:tc>
        <w:tc>
          <w:tcPr>
            <w:tcW w:w="1509"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24.3%</w:t>
            </w:r>
          </w:p>
        </w:tc>
        <w:tc>
          <w:tcPr>
            <w:tcW w:w="1526"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27.5%</w:t>
            </w:r>
          </w:p>
        </w:tc>
        <w:tc>
          <w:tcPr>
            <w:tcW w:w="1504"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11.4%</w:t>
            </w:r>
          </w:p>
        </w:tc>
      </w:tr>
      <w:tr w:rsidR="00047104" w:rsidRPr="003E248E" w:rsidTr="008E354B">
        <w:tc>
          <w:tcPr>
            <w:tcW w:w="11594" w:type="dxa"/>
            <w:gridSpan w:val="6"/>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sz w:val="24"/>
                <w:szCs w:val="24"/>
              </w:rPr>
            </w:pPr>
          </w:p>
        </w:tc>
        <w:tc>
          <w:tcPr>
            <w:tcW w:w="1790" w:type="dxa"/>
          </w:tcPr>
          <w:p w:rsidR="00047104" w:rsidRPr="00047104" w:rsidRDefault="00047104" w:rsidP="004768DE">
            <w:pPr>
              <w:widowControl w:val="0"/>
              <w:autoSpaceDE w:val="0"/>
              <w:autoSpaceDN w:val="0"/>
              <w:adjustRightInd w:val="0"/>
              <w:rPr>
                <w:rFonts w:ascii="Arial" w:hAnsi="Arial" w:cs="Arial"/>
                <w:b/>
                <w:sz w:val="24"/>
                <w:szCs w:val="24"/>
              </w:rPr>
            </w:pPr>
            <w:r>
              <w:rPr>
                <w:rFonts w:ascii="Arial" w:hAnsi="Arial" w:cs="Arial"/>
                <w:b/>
                <w:sz w:val="24"/>
                <w:szCs w:val="24"/>
              </w:rPr>
              <w:t>Media and Materials</w:t>
            </w:r>
          </w:p>
        </w:tc>
        <w:tc>
          <w:tcPr>
            <w:tcW w:w="1910" w:type="dxa"/>
          </w:tcPr>
          <w:p w:rsidR="00047104" w:rsidRPr="00047104" w:rsidRDefault="00047104" w:rsidP="004768DE">
            <w:pPr>
              <w:widowControl w:val="0"/>
              <w:autoSpaceDE w:val="0"/>
              <w:autoSpaceDN w:val="0"/>
              <w:adjustRightInd w:val="0"/>
              <w:rPr>
                <w:rFonts w:ascii="Arial" w:hAnsi="Arial" w:cs="Arial"/>
                <w:b/>
                <w:sz w:val="24"/>
                <w:szCs w:val="24"/>
              </w:rPr>
            </w:pPr>
            <w:r>
              <w:rPr>
                <w:rFonts w:ascii="Arial" w:hAnsi="Arial" w:cs="Arial"/>
                <w:b/>
                <w:sz w:val="24"/>
                <w:szCs w:val="24"/>
              </w:rPr>
              <w:t>Being Imaginative</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85.7%</w:t>
            </w:r>
          </w:p>
        </w:tc>
        <w:tc>
          <w:tcPr>
            <w:tcW w:w="1910" w:type="dxa"/>
          </w:tcPr>
          <w:p w:rsidR="00047104" w:rsidRP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94.3%</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4.3%</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17.1%</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(3) ARE/ Average/ On track</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81.4%</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77.1%</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14.3%</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2.9%</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2.9%</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9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14.3%</w:t>
            </w:r>
          </w:p>
        </w:tc>
        <w:tc>
          <w:tcPr>
            <w:tcW w:w="1910" w:type="dxa"/>
          </w:tcPr>
          <w:p w:rsidR="00047104" w:rsidRDefault="00073FD8" w:rsidP="004768DE">
            <w:pPr>
              <w:widowControl w:val="0"/>
              <w:autoSpaceDE w:val="0"/>
              <w:autoSpaceDN w:val="0"/>
              <w:adjustRightInd w:val="0"/>
              <w:rPr>
                <w:rFonts w:ascii="Arial" w:hAnsi="Arial" w:cs="Arial"/>
                <w:sz w:val="24"/>
                <w:szCs w:val="24"/>
              </w:rPr>
            </w:pPr>
            <w:r>
              <w:rPr>
                <w:rFonts w:ascii="Arial" w:hAnsi="Arial" w:cs="Arial"/>
                <w:sz w:val="24"/>
                <w:szCs w:val="24"/>
              </w:rPr>
              <w:t>5.7%</w:t>
            </w: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r w:rsidR="00047104" w:rsidRPr="003E248E" w:rsidTr="00047104">
        <w:tc>
          <w:tcPr>
            <w:tcW w:w="3114" w:type="dxa"/>
          </w:tcPr>
          <w:p w:rsidR="00047104" w:rsidRPr="003E248E" w:rsidRDefault="00047104" w:rsidP="004768DE">
            <w:pPr>
              <w:widowControl w:val="0"/>
              <w:autoSpaceDE w:val="0"/>
              <w:autoSpaceDN w:val="0"/>
              <w:adjustRightInd w:val="0"/>
              <w:rPr>
                <w:rFonts w:ascii="Arial" w:hAnsi="Arial" w:cs="Arial"/>
                <w:sz w:val="24"/>
                <w:szCs w:val="24"/>
              </w:rPr>
            </w:pPr>
          </w:p>
        </w:tc>
        <w:tc>
          <w:tcPr>
            <w:tcW w:w="1790" w:type="dxa"/>
          </w:tcPr>
          <w:p w:rsidR="00047104" w:rsidRDefault="00047104" w:rsidP="004768DE">
            <w:pPr>
              <w:widowControl w:val="0"/>
              <w:autoSpaceDE w:val="0"/>
              <w:autoSpaceDN w:val="0"/>
              <w:adjustRightInd w:val="0"/>
              <w:rPr>
                <w:rFonts w:ascii="Arial" w:hAnsi="Arial" w:cs="Arial"/>
                <w:sz w:val="24"/>
                <w:szCs w:val="24"/>
              </w:rPr>
            </w:pPr>
          </w:p>
        </w:tc>
        <w:tc>
          <w:tcPr>
            <w:tcW w:w="1910" w:type="dxa"/>
          </w:tcPr>
          <w:p w:rsidR="00047104" w:rsidRDefault="00047104" w:rsidP="004768DE">
            <w:pPr>
              <w:widowControl w:val="0"/>
              <w:autoSpaceDE w:val="0"/>
              <w:autoSpaceDN w:val="0"/>
              <w:adjustRightInd w:val="0"/>
              <w:rPr>
                <w:rFonts w:ascii="Arial" w:hAnsi="Arial" w:cs="Arial"/>
                <w:sz w:val="24"/>
                <w:szCs w:val="24"/>
              </w:rPr>
            </w:pPr>
          </w:p>
        </w:tc>
        <w:tc>
          <w:tcPr>
            <w:tcW w:w="1737" w:type="dxa"/>
          </w:tcPr>
          <w:p w:rsidR="00047104" w:rsidRDefault="00047104" w:rsidP="004768DE">
            <w:pPr>
              <w:widowControl w:val="0"/>
              <w:autoSpaceDE w:val="0"/>
              <w:autoSpaceDN w:val="0"/>
              <w:adjustRightInd w:val="0"/>
              <w:rPr>
                <w:rFonts w:ascii="Arial" w:hAnsi="Arial" w:cs="Arial"/>
                <w:sz w:val="24"/>
                <w:szCs w:val="24"/>
              </w:rPr>
            </w:pPr>
          </w:p>
        </w:tc>
        <w:tc>
          <w:tcPr>
            <w:tcW w:w="1480" w:type="dxa"/>
          </w:tcPr>
          <w:p w:rsidR="00047104" w:rsidRDefault="00047104" w:rsidP="004768DE">
            <w:pPr>
              <w:widowControl w:val="0"/>
              <w:autoSpaceDE w:val="0"/>
              <w:autoSpaceDN w:val="0"/>
              <w:adjustRightInd w:val="0"/>
              <w:rPr>
                <w:rFonts w:ascii="Arial" w:hAnsi="Arial" w:cs="Arial"/>
                <w:sz w:val="24"/>
                <w:szCs w:val="24"/>
              </w:rPr>
            </w:pPr>
          </w:p>
        </w:tc>
        <w:tc>
          <w:tcPr>
            <w:tcW w:w="1563" w:type="dxa"/>
          </w:tcPr>
          <w:p w:rsidR="00047104" w:rsidRDefault="00047104" w:rsidP="004768DE">
            <w:pPr>
              <w:widowControl w:val="0"/>
              <w:autoSpaceDE w:val="0"/>
              <w:autoSpaceDN w:val="0"/>
              <w:adjustRightInd w:val="0"/>
              <w:rPr>
                <w:rFonts w:ascii="Arial" w:hAnsi="Arial" w:cs="Arial"/>
                <w:sz w:val="24"/>
                <w:szCs w:val="24"/>
              </w:rPr>
            </w:pPr>
          </w:p>
        </w:tc>
      </w:tr>
    </w:tbl>
    <w:p w:rsidR="0032288B" w:rsidRDefault="0032288B"/>
    <w:p w:rsidR="00AF6ED6" w:rsidRDefault="00DD2B53">
      <w:pPr>
        <w:rPr>
          <w:rFonts w:ascii="Arial" w:hAnsi="Arial" w:cs="Arial"/>
          <w:sz w:val="24"/>
          <w:szCs w:val="24"/>
        </w:rPr>
      </w:pPr>
      <w:r>
        <w:rPr>
          <w:rFonts w:ascii="Arial" w:hAnsi="Arial" w:cs="Arial"/>
          <w:sz w:val="24"/>
          <w:szCs w:val="24"/>
        </w:rPr>
        <w:t xml:space="preserve">This set of data is what you would typically expect at this time of year.  In some areas of learning there are quite a few children working below the expectation so in our EYFS meetings I will focus on these children and the provision that they are receiving.  I will monitor planning to ensure that they are being planned for and assessed correctly and accurately.  Writing is our lowest area of learning for children on track to meet the </w:t>
      </w:r>
      <w:r>
        <w:rPr>
          <w:rFonts w:ascii="Arial" w:hAnsi="Arial" w:cs="Arial"/>
          <w:sz w:val="24"/>
          <w:szCs w:val="24"/>
        </w:rPr>
        <w:lastRenderedPageBreak/>
        <w:t xml:space="preserve">expectation.  </w:t>
      </w:r>
      <w:r w:rsidR="00AF6ED6">
        <w:rPr>
          <w:rFonts w:ascii="Arial" w:hAnsi="Arial" w:cs="Arial"/>
          <w:sz w:val="24"/>
          <w:szCs w:val="24"/>
        </w:rPr>
        <w:t xml:space="preserve">Last year we achieved 77.6% and the national was 72%, writing is statistically the lowest area of learning, however I will monitor this area of learning carefully to ensure that we exceed last year's percentage.  We recently met in EYFS to moderate writing and discussed for quite a long period of time the expectation of the early learning goal and how we could meet this.  As a result, the teachers are going to change and improve some of their practice in order to provide the children with more opportunities to practise writing.  Reading has improved as a result of our change in timetable and expectations of the teachers.  There are still improvements being made and I will continue to work with the staff which should see an improvement in the 70% on target.  </w:t>
      </w:r>
    </w:p>
    <w:p w:rsidR="004F4188" w:rsidRDefault="004F4188">
      <w:pPr>
        <w:rPr>
          <w:rFonts w:ascii="Arial" w:hAnsi="Arial" w:cs="Arial"/>
          <w:sz w:val="24"/>
          <w:szCs w:val="24"/>
          <w:u w:val="single"/>
        </w:rPr>
      </w:pPr>
      <w:r>
        <w:rPr>
          <w:rFonts w:ascii="Arial" w:hAnsi="Arial" w:cs="Arial"/>
          <w:sz w:val="24"/>
          <w:szCs w:val="24"/>
          <w:u w:val="single"/>
        </w:rPr>
        <w:t>Good Level of Development</w:t>
      </w:r>
    </w:p>
    <w:p w:rsidR="004F4188" w:rsidRDefault="004F4188">
      <w:pPr>
        <w:rPr>
          <w:rFonts w:ascii="Arial" w:hAnsi="Arial" w:cs="Arial"/>
          <w:sz w:val="24"/>
          <w:szCs w:val="24"/>
          <w:u w:val="single"/>
        </w:rPr>
      </w:pPr>
    </w:p>
    <w:p w:rsidR="004F4188" w:rsidRDefault="004F4188">
      <w:pPr>
        <w:rPr>
          <w:rFonts w:ascii="Arial" w:hAnsi="Arial" w:cs="Arial"/>
          <w:sz w:val="24"/>
          <w:szCs w:val="24"/>
          <w:u w:val="single"/>
        </w:rPr>
      </w:pPr>
      <w:r>
        <w:rPr>
          <w:noProof/>
        </w:rPr>
        <w:drawing>
          <wp:inline distT="0" distB="0" distL="0" distR="0" wp14:anchorId="798EC36D" wp14:editId="6E0EB88F">
            <wp:extent cx="4120737" cy="1775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37750" r="74000" b="48250"/>
                    <a:stretch/>
                  </pic:blipFill>
                  <pic:spPr bwMode="auto">
                    <a:xfrm>
                      <a:off x="0" y="0"/>
                      <a:ext cx="4124858" cy="1776861"/>
                    </a:xfrm>
                    <a:prstGeom prst="rect">
                      <a:avLst/>
                    </a:prstGeom>
                    <a:ln>
                      <a:noFill/>
                    </a:ln>
                    <a:extLst>
                      <a:ext uri="{53640926-AAD7-44D8-BBD7-CCE9431645EC}">
                        <a14:shadowObscured xmlns:a14="http://schemas.microsoft.com/office/drawing/2010/main"/>
                      </a:ext>
                    </a:extLst>
                  </pic:spPr>
                </pic:pic>
              </a:graphicData>
            </a:graphic>
          </wp:inline>
        </w:drawing>
      </w:r>
    </w:p>
    <w:p w:rsidR="004F4188" w:rsidRDefault="004F4188">
      <w:pPr>
        <w:rPr>
          <w:rFonts w:ascii="Arial" w:hAnsi="Arial" w:cs="Arial"/>
          <w:sz w:val="24"/>
          <w:szCs w:val="24"/>
        </w:rPr>
      </w:pPr>
      <w:r>
        <w:rPr>
          <w:rFonts w:ascii="Arial" w:hAnsi="Arial" w:cs="Arial"/>
          <w:sz w:val="24"/>
          <w:szCs w:val="24"/>
        </w:rPr>
        <w:t>This is currently what our good level of development looks like in Reception. This is submitted in June, so the final percentage will be higher than this as the children continue to work towards the Early Learning Goals.  Last year we achieved 72.4% with a good level of development.  We are expecting to exceed 72% this year.  I have recently provided the teachers with an overview of the slow movers and children at risk for not reaching good level of development; we are going to focus on these children in our INSET sessions to ensure they are getting the provision that they need.</w:t>
      </w:r>
      <w:bookmarkStart w:id="0" w:name="_GoBack"/>
      <w:bookmarkEnd w:id="0"/>
    </w:p>
    <w:p w:rsidR="00E3479C" w:rsidRPr="00E3479C" w:rsidRDefault="00E3479C">
      <w:pPr>
        <w:rPr>
          <w:rFonts w:ascii="Arial" w:hAnsi="Arial" w:cs="Arial"/>
          <w:sz w:val="24"/>
          <w:szCs w:val="24"/>
          <w:u w:val="single"/>
        </w:rPr>
      </w:pPr>
      <w:r>
        <w:rPr>
          <w:rFonts w:ascii="Arial" w:hAnsi="Arial" w:cs="Arial"/>
          <w:sz w:val="24"/>
          <w:szCs w:val="24"/>
          <w:u w:val="single"/>
        </w:rPr>
        <w:t>KS1 Data</w:t>
      </w:r>
    </w:p>
    <w:tbl>
      <w:tblPr>
        <w:tblStyle w:val="TableGrid"/>
        <w:tblW w:w="8565" w:type="dxa"/>
        <w:tblInd w:w="-5" w:type="dxa"/>
        <w:tblLook w:val="04A0" w:firstRow="1" w:lastRow="0" w:firstColumn="1" w:lastColumn="0" w:noHBand="0" w:noVBand="1"/>
      </w:tblPr>
      <w:tblGrid>
        <w:gridCol w:w="3213"/>
        <w:gridCol w:w="1740"/>
        <w:gridCol w:w="1875"/>
        <w:gridCol w:w="1737"/>
      </w:tblGrid>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Year 1</w:t>
            </w:r>
          </w:p>
        </w:tc>
        <w:tc>
          <w:tcPr>
            <w:tcW w:w="1740" w:type="dxa"/>
          </w:tcPr>
          <w:p w:rsidR="00E3479C" w:rsidRPr="003E248E"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Reading</w:t>
            </w:r>
          </w:p>
        </w:tc>
        <w:tc>
          <w:tcPr>
            <w:tcW w:w="1875" w:type="dxa"/>
          </w:tcPr>
          <w:p w:rsidR="00E3479C" w:rsidRPr="003E248E"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 xml:space="preserve">Writing </w:t>
            </w:r>
          </w:p>
        </w:tc>
        <w:tc>
          <w:tcPr>
            <w:tcW w:w="1737" w:type="dxa"/>
          </w:tcPr>
          <w:p w:rsidR="00E3479C" w:rsidRPr="003E248E"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Maths</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53.2%</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43.6%</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41.8%</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17.7%</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5.1%</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3.8%</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lastRenderedPageBreak/>
              <w:t>(3) ARE/ Average/ On track</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35.4%</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38.5%</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38%</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46.8%</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56.4%</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58.2%</w:t>
            </w:r>
          </w:p>
        </w:tc>
      </w:tr>
      <w:tr w:rsidR="00E3479C" w:rsidRPr="003E248E" w:rsidTr="00C748DE">
        <w:trPr>
          <w:trHeight w:val="85"/>
        </w:trPr>
        <w:tc>
          <w:tcPr>
            <w:tcW w:w="3213" w:type="dxa"/>
          </w:tcPr>
          <w:p w:rsidR="00E3479C" w:rsidRPr="003E248E" w:rsidRDefault="00E3479C" w:rsidP="00C74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r>
      <w:tr w:rsidR="00E3479C" w:rsidRPr="003E248E"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40"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46.8%</w:t>
            </w:r>
          </w:p>
        </w:tc>
        <w:tc>
          <w:tcPr>
            <w:tcW w:w="1875"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56.4%</w:t>
            </w:r>
          </w:p>
        </w:tc>
        <w:tc>
          <w:tcPr>
            <w:tcW w:w="1737" w:type="dxa"/>
          </w:tcPr>
          <w:p w:rsidR="00E3479C" w:rsidRPr="003E248E"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58.2%</w:t>
            </w:r>
          </w:p>
        </w:tc>
      </w:tr>
      <w:tr w:rsidR="00E3479C" w:rsidTr="00C748DE">
        <w:tc>
          <w:tcPr>
            <w:tcW w:w="8565" w:type="dxa"/>
            <w:gridSpan w:val="4"/>
          </w:tcPr>
          <w:p w:rsidR="00E3479C" w:rsidRDefault="00E3479C" w:rsidP="00C748DE">
            <w:pPr>
              <w:widowControl w:val="0"/>
              <w:autoSpaceDE w:val="0"/>
              <w:autoSpaceDN w:val="0"/>
              <w:adjustRightInd w:val="0"/>
              <w:rPr>
                <w:rFonts w:ascii="Arial" w:hAnsi="Arial" w:cs="Arial"/>
                <w:sz w:val="24"/>
                <w:szCs w:val="24"/>
              </w:rPr>
            </w:pPr>
          </w:p>
        </w:tc>
      </w:tr>
      <w:tr w:rsidR="00E3479C" w:rsidRPr="0032288B" w:rsidTr="00C748DE">
        <w:tc>
          <w:tcPr>
            <w:tcW w:w="3213" w:type="dxa"/>
          </w:tcPr>
          <w:p w:rsidR="00E3479C" w:rsidRPr="00A347D0" w:rsidRDefault="00E3479C" w:rsidP="00C748DE">
            <w:pPr>
              <w:widowControl w:val="0"/>
              <w:autoSpaceDE w:val="0"/>
              <w:autoSpaceDN w:val="0"/>
              <w:adjustRightInd w:val="0"/>
              <w:rPr>
                <w:rFonts w:ascii="Arial" w:hAnsi="Arial" w:cs="Arial"/>
                <w:b/>
                <w:sz w:val="24"/>
                <w:szCs w:val="24"/>
              </w:rPr>
            </w:pPr>
            <w:r w:rsidRPr="00A347D0">
              <w:rPr>
                <w:rFonts w:ascii="Arial" w:hAnsi="Arial" w:cs="Arial"/>
                <w:b/>
                <w:sz w:val="24"/>
                <w:szCs w:val="24"/>
              </w:rPr>
              <w:t>Year 2</w:t>
            </w:r>
          </w:p>
        </w:tc>
        <w:tc>
          <w:tcPr>
            <w:tcW w:w="1740" w:type="dxa"/>
          </w:tcPr>
          <w:p w:rsidR="00E3479C" w:rsidRPr="0032288B"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Reading</w:t>
            </w:r>
          </w:p>
        </w:tc>
        <w:tc>
          <w:tcPr>
            <w:tcW w:w="1875" w:type="dxa"/>
          </w:tcPr>
          <w:p w:rsidR="00E3479C" w:rsidRPr="0032288B"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 xml:space="preserve">Writing </w:t>
            </w:r>
          </w:p>
        </w:tc>
        <w:tc>
          <w:tcPr>
            <w:tcW w:w="1737" w:type="dxa"/>
          </w:tcPr>
          <w:p w:rsidR="00E3479C" w:rsidRPr="0032288B" w:rsidRDefault="00E3479C" w:rsidP="00C748DE">
            <w:pPr>
              <w:widowControl w:val="0"/>
              <w:autoSpaceDE w:val="0"/>
              <w:autoSpaceDN w:val="0"/>
              <w:adjustRightInd w:val="0"/>
              <w:rPr>
                <w:rFonts w:ascii="Arial" w:hAnsi="Arial" w:cs="Arial"/>
                <w:b/>
                <w:sz w:val="24"/>
                <w:szCs w:val="24"/>
              </w:rPr>
            </w:pPr>
            <w:r>
              <w:rPr>
                <w:rFonts w:ascii="Arial" w:hAnsi="Arial" w:cs="Arial"/>
                <w:b/>
                <w:sz w:val="24"/>
                <w:szCs w:val="24"/>
              </w:rPr>
              <w:t>Maths</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t>Pupils average and above 1,2,3</w:t>
            </w:r>
          </w:p>
        </w:tc>
        <w:tc>
          <w:tcPr>
            <w:tcW w:w="1740" w:type="dxa"/>
          </w:tcPr>
          <w:p w:rsidR="00E3479C" w:rsidRPr="0032288B"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88%</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74.7%</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86.7%</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(1) Well above/Greatly exceed</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10.7%</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0%</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b/>
                <w:color w:val="00B050"/>
                <w:sz w:val="24"/>
                <w:szCs w:val="24"/>
              </w:rPr>
            </w:pPr>
            <w:r w:rsidRPr="003E248E">
              <w:rPr>
                <w:rFonts w:ascii="Arial" w:hAnsi="Arial" w:cs="Arial"/>
                <w:b/>
                <w:color w:val="00B050"/>
                <w:sz w:val="24"/>
                <w:szCs w:val="24"/>
              </w:rPr>
              <w:t>(2) Above/Exceed</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33.3%</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29.3%</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41.3%</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t>(3) ARE/ Average/ On track</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44%</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41.3%</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45.3%</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(4) Below/ Not on track</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10.7%</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24%</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12%</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b/>
                <w:color w:val="FF0000"/>
                <w:sz w:val="24"/>
                <w:szCs w:val="24"/>
              </w:rPr>
            </w:pPr>
            <w:r w:rsidRPr="003E248E">
              <w:rPr>
                <w:rFonts w:ascii="Arial" w:hAnsi="Arial" w:cs="Arial"/>
                <w:b/>
                <w:color w:val="FF0000"/>
                <w:sz w:val="24"/>
                <w:szCs w:val="24"/>
              </w:rPr>
              <w:t>(5) Well below/Greatly miss target</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1.3%</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1.3%</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1.3%</w:t>
            </w:r>
          </w:p>
        </w:tc>
      </w:tr>
      <w:tr w:rsidR="00E3479C" w:rsidTr="00C748DE">
        <w:tc>
          <w:tcPr>
            <w:tcW w:w="3213" w:type="dxa"/>
          </w:tcPr>
          <w:p w:rsidR="00E3479C" w:rsidRPr="003E248E" w:rsidRDefault="00E3479C" w:rsidP="00C748DE">
            <w:pPr>
              <w:widowControl w:val="0"/>
              <w:autoSpaceDE w:val="0"/>
              <w:autoSpaceDN w:val="0"/>
              <w:adjustRightInd w:val="0"/>
              <w:rPr>
                <w:rFonts w:ascii="Arial" w:hAnsi="Arial" w:cs="Arial"/>
                <w:sz w:val="24"/>
                <w:szCs w:val="24"/>
              </w:rPr>
            </w:pPr>
            <w:r w:rsidRPr="003E248E">
              <w:rPr>
                <w:rFonts w:ascii="Arial" w:hAnsi="Arial" w:cs="Arial"/>
                <w:sz w:val="24"/>
                <w:szCs w:val="24"/>
              </w:rPr>
              <w:t>Pupils below 4+5</w:t>
            </w:r>
          </w:p>
        </w:tc>
        <w:tc>
          <w:tcPr>
            <w:tcW w:w="1740"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12%</w:t>
            </w:r>
          </w:p>
        </w:tc>
        <w:tc>
          <w:tcPr>
            <w:tcW w:w="1875"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25.3%</w:t>
            </w:r>
          </w:p>
        </w:tc>
        <w:tc>
          <w:tcPr>
            <w:tcW w:w="1737" w:type="dxa"/>
          </w:tcPr>
          <w:p w:rsidR="00E3479C" w:rsidRDefault="00E3479C" w:rsidP="00C748DE">
            <w:pPr>
              <w:widowControl w:val="0"/>
              <w:autoSpaceDE w:val="0"/>
              <w:autoSpaceDN w:val="0"/>
              <w:adjustRightInd w:val="0"/>
              <w:rPr>
                <w:rFonts w:ascii="Arial" w:hAnsi="Arial" w:cs="Arial"/>
                <w:sz w:val="24"/>
                <w:szCs w:val="24"/>
              </w:rPr>
            </w:pPr>
            <w:r>
              <w:rPr>
                <w:rFonts w:ascii="Arial" w:hAnsi="Arial" w:cs="Arial"/>
                <w:sz w:val="24"/>
                <w:szCs w:val="24"/>
              </w:rPr>
              <w:t>13.3%</w:t>
            </w:r>
          </w:p>
        </w:tc>
      </w:tr>
    </w:tbl>
    <w:p w:rsidR="00E3479C" w:rsidRDefault="00E3479C">
      <w:pPr>
        <w:rPr>
          <w:rFonts w:ascii="Arial" w:hAnsi="Arial" w:cs="Arial"/>
          <w:sz w:val="24"/>
          <w:szCs w:val="24"/>
        </w:rPr>
      </w:pPr>
    </w:p>
    <w:p w:rsidR="00E3479C" w:rsidRDefault="00E3479C">
      <w:pPr>
        <w:rPr>
          <w:rFonts w:ascii="Arial" w:hAnsi="Arial" w:cs="Arial"/>
          <w:sz w:val="24"/>
          <w:szCs w:val="24"/>
        </w:rPr>
      </w:pPr>
      <w:r>
        <w:rPr>
          <w:rFonts w:ascii="Arial" w:hAnsi="Arial" w:cs="Arial"/>
          <w:sz w:val="24"/>
          <w:szCs w:val="24"/>
        </w:rPr>
        <w:t>As you can see our Year 1 data is looking particularly low.  This is mainly due to the provision in Hedgehog Class, the children in hedgehog class have made 1.2 points progress whilst the rest of the school have made 1.5 progress or better.  It is expected that all children will make 3 points progress at the end of the academic year.  Trudi and I have recently worked with the STEP to analyse our data and we have identified some target children in Year 2.  We will be monitoring these children carefully to ensure that they reach the end of key stage expectation.</w:t>
      </w:r>
    </w:p>
    <w:p w:rsidR="00AF6ED6" w:rsidRDefault="00AF6ED6">
      <w:pPr>
        <w:rPr>
          <w:rFonts w:ascii="Arial" w:hAnsi="Arial" w:cs="Arial"/>
          <w:sz w:val="24"/>
          <w:szCs w:val="24"/>
          <w:u w:val="single"/>
        </w:rPr>
      </w:pPr>
      <w:r>
        <w:rPr>
          <w:rFonts w:ascii="Arial" w:hAnsi="Arial" w:cs="Arial"/>
          <w:sz w:val="24"/>
          <w:szCs w:val="24"/>
          <w:u w:val="single"/>
        </w:rPr>
        <w:t>EYFS Moderation</w:t>
      </w:r>
    </w:p>
    <w:p w:rsidR="00DD2B53" w:rsidRDefault="00AF6ED6">
      <w:pPr>
        <w:rPr>
          <w:rFonts w:ascii="Arial" w:hAnsi="Arial" w:cs="Arial"/>
          <w:sz w:val="24"/>
          <w:szCs w:val="24"/>
        </w:rPr>
      </w:pPr>
      <w:r>
        <w:rPr>
          <w:rFonts w:ascii="Arial" w:hAnsi="Arial" w:cs="Arial"/>
          <w:sz w:val="24"/>
          <w:szCs w:val="24"/>
        </w:rPr>
        <w:t xml:space="preserve">We have been notified that we will be moderated in the EYFS this year.  The EYFS team and I are working well together to moderate our judgements and notice any gaps there may be in our assessments.  I have been asked to join the EYFS moderation team this year, and in the summer term will shadow a moderator, before completing moderations in other settings next year.   </w:t>
      </w:r>
    </w:p>
    <w:p w:rsidR="00E063C5" w:rsidRDefault="00E063C5">
      <w:pPr>
        <w:rPr>
          <w:rFonts w:ascii="Arial" w:hAnsi="Arial" w:cs="Arial"/>
          <w:sz w:val="24"/>
          <w:szCs w:val="24"/>
          <w:u w:val="single"/>
        </w:rPr>
      </w:pPr>
      <w:r>
        <w:rPr>
          <w:rFonts w:ascii="Arial" w:hAnsi="Arial" w:cs="Arial"/>
          <w:sz w:val="24"/>
          <w:szCs w:val="24"/>
          <w:u w:val="single"/>
        </w:rPr>
        <w:t>30 Hours in Nursery</w:t>
      </w:r>
    </w:p>
    <w:p w:rsidR="00AF6ED6" w:rsidRPr="00AF6ED6" w:rsidRDefault="00AF6ED6">
      <w:pPr>
        <w:rPr>
          <w:rFonts w:ascii="Arial" w:hAnsi="Arial" w:cs="Arial"/>
          <w:sz w:val="24"/>
          <w:szCs w:val="24"/>
        </w:rPr>
      </w:pPr>
      <w:r>
        <w:rPr>
          <w:rFonts w:ascii="Arial" w:hAnsi="Arial" w:cs="Arial"/>
          <w:sz w:val="24"/>
          <w:szCs w:val="24"/>
        </w:rPr>
        <w:t>The 30 hours in Nursery has continued to be popular.  In January, 11 children joined us in Nursery taking us to 4</w:t>
      </w:r>
      <w:r w:rsidR="00E3479C">
        <w:rPr>
          <w:rFonts w:ascii="Arial" w:hAnsi="Arial" w:cs="Arial"/>
          <w:sz w:val="24"/>
          <w:szCs w:val="24"/>
        </w:rPr>
        <w:t>7</w:t>
      </w:r>
      <w:r>
        <w:rPr>
          <w:rFonts w:ascii="Arial" w:hAnsi="Arial" w:cs="Arial"/>
          <w:sz w:val="24"/>
          <w:szCs w:val="24"/>
        </w:rPr>
        <w:t xml:space="preserve"> children in total, one child will be join</w:t>
      </w:r>
      <w:r w:rsidR="00E3479C">
        <w:rPr>
          <w:rFonts w:ascii="Arial" w:hAnsi="Arial" w:cs="Arial"/>
          <w:sz w:val="24"/>
          <w:szCs w:val="24"/>
        </w:rPr>
        <w:t>ing us at Easter taking us to 48</w:t>
      </w:r>
      <w:r>
        <w:rPr>
          <w:rFonts w:ascii="Arial" w:hAnsi="Arial" w:cs="Arial"/>
          <w:sz w:val="24"/>
          <w:szCs w:val="24"/>
        </w:rPr>
        <w:t xml:space="preserve">.  Quite a few of the January intake have been asking for additional hours </w:t>
      </w:r>
      <w:r w:rsidR="003442BA">
        <w:rPr>
          <w:rFonts w:ascii="Arial" w:hAnsi="Arial" w:cs="Arial"/>
          <w:sz w:val="24"/>
          <w:szCs w:val="24"/>
        </w:rPr>
        <w:t>and Emma Marshall one of our lunchtime controllers has agreed to work in Nursery on our busy afternoons.  This has meant that the families who have asked for additional hours have had these confirmed.</w:t>
      </w:r>
    </w:p>
    <w:p w:rsidR="00AF6ED6" w:rsidRDefault="00AF6ED6">
      <w:pPr>
        <w:rPr>
          <w:rFonts w:ascii="Arial" w:hAnsi="Arial" w:cs="Arial"/>
          <w:sz w:val="24"/>
          <w:szCs w:val="24"/>
          <w:u w:val="single"/>
        </w:rPr>
      </w:pPr>
      <w:r>
        <w:rPr>
          <w:rFonts w:ascii="Arial" w:hAnsi="Arial" w:cs="Arial"/>
          <w:sz w:val="24"/>
          <w:szCs w:val="24"/>
          <w:u w:val="single"/>
        </w:rPr>
        <w:lastRenderedPageBreak/>
        <w:t>Students</w:t>
      </w:r>
    </w:p>
    <w:p w:rsidR="00AF6ED6" w:rsidRPr="00AF6ED6" w:rsidRDefault="003442BA">
      <w:pPr>
        <w:rPr>
          <w:rFonts w:ascii="Arial" w:hAnsi="Arial" w:cs="Arial"/>
          <w:sz w:val="24"/>
          <w:szCs w:val="24"/>
        </w:rPr>
      </w:pPr>
      <w:r>
        <w:rPr>
          <w:rFonts w:ascii="Arial" w:hAnsi="Arial" w:cs="Arial"/>
          <w:sz w:val="24"/>
          <w:szCs w:val="24"/>
        </w:rPr>
        <w:t xml:space="preserve">Gill Salter has returned to us after a successful year 6 placement.  She is now working with Jade Faircloth in Reception and after Easter will be working with Sam Leighton in Rabbit Class.  We have had two final year students in Year 2 from Reading University and they have had a very successful placement.  They have reported to Trudi and </w:t>
      </w:r>
      <w:proofErr w:type="gramStart"/>
      <w:r>
        <w:rPr>
          <w:rFonts w:ascii="Arial" w:hAnsi="Arial" w:cs="Arial"/>
          <w:sz w:val="24"/>
          <w:szCs w:val="24"/>
        </w:rPr>
        <w:t>I</w:t>
      </w:r>
      <w:proofErr w:type="gramEnd"/>
      <w:r>
        <w:rPr>
          <w:rFonts w:ascii="Arial" w:hAnsi="Arial" w:cs="Arial"/>
          <w:sz w:val="24"/>
          <w:szCs w:val="24"/>
        </w:rPr>
        <w:t xml:space="preserve"> that they have felt extremely welcome and supported at our school.</w:t>
      </w:r>
    </w:p>
    <w:p w:rsidR="00AF6ED6" w:rsidRDefault="00AF6ED6">
      <w:pPr>
        <w:rPr>
          <w:rFonts w:ascii="Arial" w:hAnsi="Arial" w:cs="Arial"/>
          <w:sz w:val="24"/>
          <w:szCs w:val="24"/>
          <w:u w:val="single"/>
        </w:rPr>
      </w:pPr>
      <w:r>
        <w:rPr>
          <w:rFonts w:ascii="Arial" w:hAnsi="Arial" w:cs="Arial"/>
          <w:sz w:val="24"/>
          <w:szCs w:val="24"/>
          <w:u w:val="single"/>
        </w:rPr>
        <w:t>Hedgehog Class</w:t>
      </w:r>
    </w:p>
    <w:p w:rsidR="0016579D" w:rsidRDefault="003442BA">
      <w:pPr>
        <w:rPr>
          <w:rFonts w:ascii="Arial" w:hAnsi="Arial" w:cs="Arial"/>
          <w:sz w:val="24"/>
          <w:szCs w:val="24"/>
        </w:rPr>
      </w:pPr>
      <w:r>
        <w:rPr>
          <w:rFonts w:ascii="Arial" w:hAnsi="Arial" w:cs="Arial"/>
          <w:sz w:val="24"/>
          <w:szCs w:val="24"/>
        </w:rPr>
        <w:t xml:space="preserve">I have been working closely with Ashley Nuttall and Susan </w:t>
      </w:r>
      <w:proofErr w:type="spellStart"/>
      <w:r>
        <w:rPr>
          <w:rFonts w:ascii="Arial" w:hAnsi="Arial" w:cs="Arial"/>
          <w:sz w:val="24"/>
          <w:szCs w:val="24"/>
        </w:rPr>
        <w:t>Tait</w:t>
      </w:r>
      <w:proofErr w:type="spellEnd"/>
      <w:r>
        <w:rPr>
          <w:rFonts w:ascii="Arial" w:hAnsi="Arial" w:cs="Arial"/>
          <w:sz w:val="24"/>
          <w:szCs w:val="24"/>
        </w:rPr>
        <w:t xml:space="preserve"> who have taken on the responsibility of Hedgehog Class.  We have scheduled additional adults in the class to hear the children read and to support the children who require additional support.  </w:t>
      </w:r>
      <w:r w:rsidR="00E3479C">
        <w:rPr>
          <w:rFonts w:ascii="Arial" w:hAnsi="Arial" w:cs="Arial"/>
          <w:sz w:val="24"/>
          <w:szCs w:val="24"/>
        </w:rPr>
        <w:t>Hedgehog class will continue to be a focus with plans in place to support these children.</w:t>
      </w:r>
    </w:p>
    <w:p w:rsidR="00E3479C" w:rsidRDefault="00E3479C">
      <w:pPr>
        <w:rPr>
          <w:rFonts w:ascii="Arial" w:hAnsi="Arial" w:cs="Arial"/>
          <w:sz w:val="24"/>
          <w:szCs w:val="24"/>
        </w:rPr>
      </w:pPr>
    </w:p>
    <w:p w:rsidR="00E3479C" w:rsidRDefault="00E3479C">
      <w:pPr>
        <w:rPr>
          <w:rFonts w:ascii="Arial" w:hAnsi="Arial" w:cs="Arial"/>
          <w:sz w:val="24"/>
          <w:szCs w:val="24"/>
        </w:rPr>
      </w:pPr>
    </w:p>
    <w:p w:rsidR="00E3479C" w:rsidRPr="00E3479C" w:rsidRDefault="00E3479C">
      <w:pPr>
        <w:rPr>
          <w:rFonts w:ascii="Arial" w:hAnsi="Arial" w:cs="Arial"/>
          <w:sz w:val="24"/>
          <w:szCs w:val="24"/>
        </w:rPr>
      </w:pPr>
    </w:p>
    <w:sectPr w:rsidR="00E3479C" w:rsidRPr="00E3479C" w:rsidSect="003228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2288B"/>
    <w:rsid w:val="00047104"/>
    <w:rsid w:val="00073FD8"/>
    <w:rsid w:val="000A278C"/>
    <w:rsid w:val="001459C4"/>
    <w:rsid w:val="0016579D"/>
    <w:rsid w:val="001A5394"/>
    <w:rsid w:val="00222230"/>
    <w:rsid w:val="0032288B"/>
    <w:rsid w:val="003442BA"/>
    <w:rsid w:val="003F11E2"/>
    <w:rsid w:val="0044691A"/>
    <w:rsid w:val="004F4188"/>
    <w:rsid w:val="0051753B"/>
    <w:rsid w:val="00A131BC"/>
    <w:rsid w:val="00AF6ED6"/>
    <w:rsid w:val="00C876EF"/>
    <w:rsid w:val="00DD2B53"/>
    <w:rsid w:val="00E063C5"/>
    <w:rsid w:val="00E3479C"/>
    <w:rsid w:val="00EF0435"/>
    <w:rsid w:val="00FB17BA"/>
    <w:rsid w:val="00FC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8B"/>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188"/>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Batten</dc:creator>
  <cp:lastModifiedBy>Emma Batten</cp:lastModifiedBy>
  <cp:revision>7</cp:revision>
  <dcterms:created xsi:type="dcterms:W3CDTF">2018-03-03T17:43:00Z</dcterms:created>
  <dcterms:modified xsi:type="dcterms:W3CDTF">2018-03-15T12:45:00Z</dcterms:modified>
</cp:coreProperties>
</file>