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90" w:rsidRDefault="003842D6" w:rsidP="008E0CD9">
      <w:pPr>
        <w:jc w:val="center"/>
        <w:rPr>
          <w:sz w:val="32"/>
          <w:szCs w:val="32"/>
        </w:rPr>
      </w:pPr>
      <w:bookmarkStart w:id="0" w:name="_GoBack"/>
      <w:bookmarkEnd w:id="0"/>
      <w:r w:rsidRPr="003842D6">
        <w:rPr>
          <w:sz w:val="32"/>
          <w:szCs w:val="32"/>
        </w:rPr>
        <w:t>College Town Primary School</w:t>
      </w:r>
      <w:r w:rsidR="00672502">
        <w:rPr>
          <w:sz w:val="32"/>
          <w:szCs w:val="32"/>
        </w:rPr>
        <w:t xml:space="preserve">                               </w:t>
      </w:r>
    </w:p>
    <w:p w:rsidR="003842D6" w:rsidRDefault="003842D6" w:rsidP="003842D6">
      <w:pPr>
        <w:rPr>
          <w:sz w:val="24"/>
          <w:szCs w:val="24"/>
        </w:rPr>
      </w:pPr>
      <w:r>
        <w:rPr>
          <w:sz w:val="24"/>
          <w:szCs w:val="24"/>
        </w:rPr>
        <w:t>Early Career Teachers 2021 - 2022</w:t>
      </w:r>
    </w:p>
    <w:p w:rsidR="006F4682" w:rsidRDefault="000F75CB" w:rsidP="008E0CD9">
      <w:pPr>
        <w:rPr>
          <w:rFonts w:cstheme="minorHAnsi"/>
          <w:color w:val="0B0C0C"/>
          <w:sz w:val="24"/>
          <w:szCs w:val="24"/>
          <w:shd w:val="clear" w:color="auto" w:fill="FFFFFF"/>
        </w:rPr>
      </w:pPr>
      <w:r>
        <w:rPr>
          <w:rFonts w:cstheme="minorHAnsi"/>
          <w:color w:val="0B0C0C"/>
          <w:sz w:val="24"/>
          <w:szCs w:val="24"/>
          <w:shd w:val="clear" w:color="auto" w:fill="FFFFFF"/>
        </w:rPr>
        <w:t>Across a two-year period,</w:t>
      </w:r>
      <w:r w:rsidR="003842D6" w:rsidRPr="006F4682">
        <w:rPr>
          <w:rFonts w:cstheme="minorHAnsi"/>
          <w:color w:val="0B0C0C"/>
          <w:sz w:val="24"/>
          <w:szCs w:val="24"/>
          <w:shd w:val="clear" w:color="auto" w:fill="FFFFFF"/>
        </w:rPr>
        <w:t xml:space="preserve"> ECTs will work through 12 Blocks in total, one per half term. Each Block has been designed based on international best practice of effective professional development, and includes interactive self-study materials that explain the research behind the Early Career Framework and give exemplifications of what this looks like in the classroom. T</w:t>
      </w:r>
      <w:r w:rsidR="00031838">
        <w:rPr>
          <w:rFonts w:cstheme="minorHAnsi"/>
          <w:color w:val="0B0C0C"/>
          <w:sz w:val="24"/>
          <w:szCs w:val="24"/>
          <w:shd w:val="clear" w:color="auto" w:fill="FFFFFF"/>
        </w:rPr>
        <w:t>here is also protected time in y</w:t>
      </w:r>
      <w:r w:rsidR="003842D6" w:rsidRPr="006F4682">
        <w:rPr>
          <w:rFonts w:cstheme="minorHAnsi"/>
          <w:color w:val="0B0C0C"/>
          <w:sz w:val="24"/>
          <w:szCs w:val="24"/>
          <w:shd w:val="clear" w:color="auto" w:fill="FFFFFF"/>
        </w:rPr>
        <w:t>ear 1 as part of these materials to observe colleagues and to be observed.</w:t>
      </w:r>
      <w:r w:rsidR="008E0CD9" w:rsidRPr="006F4682">
        <w:rPr>
          <w:rFonts w:cstheme="minorHAnsi"/>
          <w:color w:val="0B0C0C"/>
          <w:sz w:val="24"/>
          <w:szCs w:val="24"/>
          <w:shd w:val="clear" w:color="auto" w:fill="FFFFFF"/>
        </w:rPr>
        <w:t xml:space="preserve"> </w:t>
      </w:r>
    </w:p>
    <w:p w:rsidR="003842D6" w:rsidRPr="006F4682" w:rsidRDefault="008E0CD9" w:rsidP="008E0CD9">
      <w:pPr>
        <w:rPr>
          <w:rFonts w:cstheme="minorHAnsi"/>
          <w:color w:val="0B0C0C"/>
          <w:sz w:val="24"/>
          <w:szCs w:val="24"/>
          <w:shd w:val="clear" w:color="auto" w:fill="FFFFFF"/>
        </w:rPr>
      </w:pPr>
      <w:r w:rsidRPr="006F4682">
        <w:rPr>
          <w:rFonts w:cstheme="minorHAnsi"/>
          <w:color w:val="0B0C0C"/>
          <w:sz w:val="24"/>
          <w:szCs w:val="24"/>
          <w:shd w:val="clear" w:color="auto" w:fill="FFFFFF"/>
        </w:rPr>
        <w:t>College Town Primary School has chosen the Core Induction Programme</w:t>
      </w:r>
      <w:r w:rsidR="006F4682">
        <w:rPr>
          <w:rFonts w:cstheme="minorHAnsi"/>
          <w:color w:val="0B0C0C"/>
          <w:sz w:val="24"/>
          <w:szCs w:val="24"/>
          <w:shd w:val="clear" w:color="auto" w:fill="FFFFFF"/>
        </w:rPr>
        <w:t xml:space="preserve"> option and will be </w:t>
      </w:r>
      <w:r w:rsidRPr="006F4682">
        <w:rPr>
          <w:rFonts w:cstheme="minorHAnsi"/>
          <w:color w:val="0B0C0C"/>
          <w:sz w:val="24"/>
          <w:szCs w:val="24"/>
          <w:shd w:val="clear" w:color="auto" w:fill="FFFFFF"/>
        </w:rPr>
        <w:t xml:space="preserve">using </w:t>
      </w:r>
      <w:r w:rsidRPr="006F4682">
        <w:rPr>
          <w:sz w:val="24"/>
          <w:szCs w:val="24"/>
        </w:rPr>
        <w:t xml:space="preserve">quality materials and resources </w:t>
      </w:r>
      <w:r w:rsidR="006F4682" w:rsidRPr="006F4682">
        <w:rPr>
          <w:sz w:val="24"/>
          <w:szCs w:val="24"/>
        </w:rPr>
        <w:t>created by the Education</w:t>
      </w:r>
      <w:r w:rsidR="00AD45F6">
        <w:rPr>
          <w:sz w:val="24"/>
          <w:szCs w:val="24"/>
        </w:rPr>
        <w:t xml:space="preserve"> Endowment Foundation</w:t>
      </w:r>
      <w:r w:rsidR="00210B25">
        <w:rPr>
          <w:sz w:val="24"/>
          <w:szCs w:val="24"/>
        </w:rPr>
        <w:t xml:space="preserve">(EEF) </w:t>
      </w:r>
      <w:r w:rsidRPr="006F4682">
        <w:rPr>
          <w:sz w:val="24"/>
          <w:szCs w:val="24"/>
        </w:rPr>
        <w:t>accredited by the DfE</w:t>
      </w:r>
      <w:r w:rsidR="006F4682" w:rsidRPr="006F4682">
        <w:rPr>
          <w:sz w:val="24"/>
          <w:szCs w:val="24"/>
        </w:rPr>
        <w:t>.</w:t>
      </w:r>
      <w:r w:rsidR="00BD63E3">
        <w:rPr>
          <w:sz w:val="24"/>
          <w:szCs w:val="24"/>
        </w:rPr>
        <w:t xml:space="preserve"> Both the school mentor and ECTs have been registered on the DfE website and the DfE will be the accr</w:t>
      </w:r>
      <w:r w:rsidR="004B7FDE">
        <w:rPr>
          <w:sz w:val="24"/>
          <w:szCs w:val="24"/>
        </w:rPr>
        <w:t>edited body for ECTs.</w:t>
      </w:r>
    </w:p>
    <w:p w:rsidR="003842D6" w:rsidRPr="003842D6" w:rsidRDefault="003842D6" w:rsidP="00AD45F6">
      <w:pP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3842D6">
        <w:rPr>
          <w:rFonts w:eastAsia="Times New Roman" w:cstheme="minorHAnsi"/>
          <w:color w:val="0B0C0C"/>
          <w:sz w:val="24"/>
          <w:szCs w:val="24"/>
          <w:lang w:eastAsia="en-GB"/>
        </w:rPr>
        <w:t>Each Block provides our ECTs with the time to:</w:t>
      </w:r>
    </w:p>
    <w:p w:rsidR="003842D6" w:rsidRPr="003842D6" w:rsidRDefault="003842D6" w:rsidP="00AD45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3842D6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Learn </w:t>
      </w:r>
      <w:r w:rsidRPr="003842D6">
        <w:rPr>
          <w:rFonts w:eastAsia="Times New Roman" w:cstheme="minorHAnsi"/>
          <w:color w:val="0B0C0C"/>
          <w:sz w:val="24"/>
          <w:szCs w:val="24"/>
          <w:lang w:eastAsia="en-GB"/>
        </w:rPr>
        <w:t>the content from the Early Career Framework</w:t>
      </w:r>
    </w:p>
    <w:p w:rsidR="003842D6" w:rsidRPr="003842D6" w:rsidRDefault="003842D6" w:rsidP="00AD45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3842D6">
        <w:rPr>
          <w:rFonts w:eastAsia="Times New Roman" w:cstheme="minorHAnsi"/>
          <w:color w:val="0B0C0C"/>
          <w:sz w:val="24"/>
          <w:szCs w:val="24"/>
          <w:lang w:eastAsia="en-GB"/>
        </w:rPr>
        <w:t>Put the learning into </w:t>
      </w:r>
      <w:r w:rsidR="00C358DA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practic</w:t>
      </w:r>
      <w:r w:rsidRPr="003842D6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e </w:t>
      </w:r>
      <w:r w:rsidRPr="003842D6">
        <w:rPr>
          <w:rFonts w:eastAsia="Times New Roman" w:cstheme="minorHAnsi"/>
          <w:color w:val="0B0C0C"/>
          <w:sz w:val="24"/>
          <w:szCs w:val="24"/>
          <w:lang w:eastAsia="en-GB"/>
        </w:rPr>
        <w:t>with suggestions for classroom practice</w:t>
      </w:r>
    </w:p>
    <w:p w:rsidR="003842D6" w:rsidRDefault="003842D6" w:rsidP="00AD45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3842D6">
        <w:rPr>
          <w:rFonts w:eastAsia="Times New Roman" w:cstheme="minorHAnsi"/>
          <w:b/>
          <w:bCs/>
          <w:color w:val="0B0C0C"/>
          <w:sz w:val="24"/>
          <w:szCs w:val="24"/>
          <w:lang w:eastAsia="en-GB"/>
        </w:rPr>
        <w:t>Reflect </w:t>
      </w:r>
      <w:r w:rsidRPr="003842D6">
        <w:rPr>
          <w:rFonts w:eastAsia="Times New Roman" w:cstheme="minorHAnsi"/>
          <w:color w:val="0B0C0C"/>
          <w:sz w:val="24"/>
          <w:szCs w:val="24"/>
          <w:lang w:eastAsia="en-GB"/>
        </w:rPr>
        <w:t>on their professional and personal development</w:t>
      </w:r>
    </w:p>
    <w:p w:rsidR="00AD45F6" w:rsidRDefault="00AD45F6" w:rsidP="00AD45F6">
      <w:pPr>
        <w:spacing w:after="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 </w:t>
      </w:r>
    </w:p>
    <w:p w:rsidR="00AD45F6" w:rsidRPr="00AD45F6" w:rsidRDefault="00AD45F6" w:rsidP="00AD45F6">
      <w:pPr>
        <w:spacing w:after="0"/>
        <w:rPr>
          <w:rFonts w:cstheme="minorHAnsi"/>
          <w:color w:val="0B0C0C"/>
          <w:sz w:val="24"/>
          <w:szCs w:val="24"/>
          <w:shd w:val="clear" w:color="auto" w:fill="FFFFFF"/>
        </w:rPr>
      </w:pPr>
      <w:r w:rsidRPr="00AD45F6">
        <w:rPr>
          <w:rFonts w:cstheme="minorHAnsi"/>
          <w:color w:val="0B0C0C"/>
          <w:sz w:val="24"/>
          <w:szCs w:val="24"/>
          <w:shd w:val="clear" w:color="auto" w:fill="FFFFFF"/>
        </w:rPr>
        <w:t xml:space="preserve"> The materials cover the five core areas of the Early Career Framework: </w:t>
      </w:r>
    </w:p>
    <w:p w:rsidR="00AD45F6" w:rsidRPr="00AD45F6" w:rsidRDefault="00FA62B2" w:rsidP="00AD45F6">
      <w:pPr>
        <w:spacing w:after="0"/>
        <w:rPr>
          <w:rFonts w:cstheme="minorHAnsi"/>
          <w:color w:val="0B0C0C"/>
          <w:sz w:val="24"/>
          <w:szCs w:val="24"/>
          <w:shd w:val="clear" w:color="auto" w:fill="FFFFFF"/>
        </w:rPr>
      </w:pPr>
      <w:r>
        <w:rPr>
          <w:rFonts w:cstheme="minorHAnsi"/>
          <w:color w:val="0B0C0C"/>
          <w:sz w:val="24"/>
          <w:szCs w:val="24"/>
          <w:shd w:val="clear" w:color="auto" w:fill="FFFFFF"/>
        </w:rPr>
        <w:t xml:space="preserve"> </w:t>
      </w:r>
      <w:r w:rsidR="00AD45F6" w:rsidRPr="00AD45F6">
        <w:rPr>
          <w:rFonts w:cstheme="minorHAnsi"/>
          <w:color w:val="0B0C0C"/>
          <w:sz w:val="24"/>
          <w:szCs w:val="24"/>
          <w:shd w:val="clear" w:color="auto" w:fill="FFFFFF"/>
        </w:rPr>
        <w:t>behaviour management, pedagogy, curriculum, assessment and professional behaviours</w:t>
      </w:r>
      <w:r w:rsidR="00AD45F6">
        <w:rPr>
          <w:rFonts w:cstheme="minorHAnsi"/>
          <w:color w:val="0B0C0C"/>
          <w:sz w:val="24"/>
          <w:szCs w:val="24"/>
          <w:shd w:val="clear" w:color="auto" w:fill="FFFFFF"/>
        </w:rPr>
        <w:t>.</w:t>
      </w:r>
    </w:p>
    <w:p w:rsidR="00672FD4" w:rsidRDefault="003842D6" w:rsidP="003842D6">
      <w:pPr>
        <w:shd w:val="clear" w:color="auto" w:fill="FFFFFF"/>
        <w:spacing w:before="100" w:beforeAutospacing="1" w:after="75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>
        <w:rPr>
          <w:rFonts w:eastAsia="Times New Roman" w:cstheme="minorHAnsi"/>
          <w:color w:val="0B0C0C"/>
          <w:sz w:val="24"/>
          <w:szCs w:val="24"/>
          <w:lang w:eastAsia="en-GB"/>
        </w:rPr>
        <w:t xml:space="preserve">BLOCK 1 </w:t>
      </w:r>
      <w:r w:rsidR="00E8075A">
        <w:rPr>
          <w:rFonts w:eastAsia="Times New Roman" w:cstheme="minorHAnsi"/>
          <w:color w:val="0B0C0C"/>
          <w:sz w:val="24"/>
          <w:szCs w:val="24"/>
          <w:lang w:eastAsia="en-GB"/>
        </w:rPr>
        <w:t>Establishing a positive climate for learning</w:t>
      </w:r>
    </w:p>
    <w:tbl>
      <w:tblPr>
        <w:tblStyle w:val="TableGrid"/>
        <w:tblW w:w="9057" w:type="dxa"/>
        <w:tblLook w:val="04A0" w:firstRow="1" w:lastRow="0" w:firstColumn="1" w:lastColumn="0" w:noHBand="0" w:noVBand="1"/>
      </w:tblPr>
      <w:tblGrid>
        <w:gridCol w:w="7198"/>
        <w:gridCol w:w="1859"/>
      </w:tblGrid>
      <w:tr w:rsidR="005A1DB6" w:rsidTr="00880C72">
        <w:trPr>
          <w:trHeight w:val="475"/>
        </w:trPr>
        <w:tc>
          <w:tcPr>
            <w:tcW w:w="7198" w:type="dxa"/>
          </w:tcPr>
          <w:p w:rsidR="005A1DB6" w:rsidRPr="00A7501A" w:rsidRDefault="005A1DB6" w:rsidP="003842D6">
            <w:pPr>
              <w:spacing w:before="100" w:beforeAutospacing="1" w:after="75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A7501A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Activity </w:t>
            </w:r>
          </w:p>
        </w:tc>
        <w:tc>
          <w:tcPr>
            <w:tcW w:w="1859" w:type="dxa"/>
          </w:tcPr>
          <w:p w:rsidR="00A7501A" w:rsidRDefault="00A7501A" w:rsidP="00A7501A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A7501A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Date</w:t>
            </w:r>
          </w:p>
          <w:p w:rsidR="00A7501A" w:rsidRPr="00A7501A" w:rsidRDefault="00A7501A" w:rsidP="00A7501A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(</w:t>
            </w:r>
            <w:r w:rsidRPr="00A7501A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Week beginning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)</w:t>
            </w:r>
          </w:p>
        </w:tc>
      </w:tr>
      <w:tr w:rsidR="00672FD4" w:rsidTr="00880C72">
        <w:trPr>
          <w:trHeight w:val="475"/>
        </w:trPr>
        <w:tc>
          <w:tcPr>
            <w:tcW w:w="7198" w:type="dxa"/>
          </w:tcPr>
          <w:p w:rsidR="00672FD4" w:rsidRPr="00A7501A" w:rsidRDefault="00B75FC7" w:rsidP="00672FD4">
            <w:pPr>
              <w:spacing w:before="100" w:beforeAutospacing="1" w:after="75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7" w:history="1">
              <w:r w:rsidR="00672FD4" w:rsidRPr="00A7501A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Activity 1.1: What you will learn, and video introduction to the Block</w:t>
              </w:r>
            </w:hyperlink>
          </w:p>
        </w:tc>
        <w:tc>
          <w:tcPr>
            <w:tcW w:w="1859" w:type="dxa"/>
          </w:tcPr>
          <w:p w:rsidR="00672FD4" w:rsidRDefault="00581958" w:rsidP="00672FD4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1-09-21</w:t>
            </w:r>
          </w:p>
        </w:tc>
      </w:tr>
      <w:tr w:rsidR="00581958" w:rsidTr="00880C72">
        <w:trPr>
          <w:trHeight w:val="475"/>
        </w:trPr>
        <w:tc>
          <w:tcPr>
            <w:tcW w:w="7198" w:type="dxa"/>
          </w:tcPr>
          <w:p w:rsidR="00581958" w:rsidRPr="00A7501A" w:rsidRDefault="00B75FC7" w:rsidP="00581958">
            <w:pPr>
              <w:spacing w:before="100" w:beforeAutospacing="1" w:after="75"/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8" w:history="1">
              <w:r w:rsidR="00581958" w:rsidRPr="00A7501A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Activity 1.2: Understanding the evidence: The importance of expectations, routines and relationships</w:t>
              </w:r>
            </w:hyperlink>
          </w:p>
        </w:tc>
        <w:tc>
          <w:tcPr>
            <w:tcW w:w="1859" w:type="dxa"/>
          </w:tcPr>
          <w:p w:rsidR="00581958" w:rsidRDefault="00581958" w:rsidP="00581958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6-09-21</w:t>
            </w:r>
          </w:p>
        </w:tc>
      </w:tr>
      <w:tr w:rsidR="00581958" w:rsidTr="00880C72">
        <w:trPr>
          <w:trHeight w:val="475"/>
        </w:trPr>
        <w:tc>
          <w:tcPr>
            <w:tcW w:w="7198" w:type="dxa"/>
          </w:tcPr>
          <w:p w:rsidR="00581958" w:rsidRDefault="00B75FC7" w:rsidP="00581958">
            <w:pPr>
              <w:spacing w:after="75"/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9" w:history="1">
              <w:r w:rsidR="00581958" w:rsidRPr="00A7501A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Activity 1.3: Learning about… classroom routines</w:t>
              </w:r>
            </w:hyperlink>
          </w:p>
          <w:p w:rsidR="00581958" w:rsidRPr="00A7501A" w:rsidRDefault="00581958" w:rsidP="00581958">
            <w:pPr>
              <w:spacing w:after="75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>Observations b</w:t>
            </w:r>
            <w:r w:rsidR="002340BD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>y mentor – quality assured by SLT partner</w:t>
            </w:r>
          </w:p>
        </w:tc>
        <w:tc>
          <w:tcPr>
            <w:tcW w:w="1859" w:type="dxa"/>
          </w:tcPr>
          <w:p w:rsidR="00581958" w:rsidRDefault="00581958" w:rsidP="00581958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13-09-21</w:t>
            </w:r>
          </w:p>
        </w:tc>
      </w:tr>
      <w:tr w:rsidR="00581958" w:rsidTr="00880C72">
        <w:trPr>
          <w:trHeight w:val="475"/>
        </w:trPr>
        <w:tc>
          <w:tcPr>
            <w:tcW w:w="7198" w:type="dxa"/>
          </w:tcPr>
          <w:p w:rsidR="00581958" w:rsidRPr="00A7501A" w:rsidRDefault="00B75FC7" w:rsidP="00581958">
            <w:pPr>
              <w:spacing w:before="100" w:beforeAutospacing="1" w:after="75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10" w:history="1">
              <w:r w:rsidR="00581958" w:rsidRPr="00A7501A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Activity 1.4: Learning about… Maintaining consistently high behavioural expectations</w:t>
              </w:r>
            </w:hyperlink>
          </w:p>
        </w:tc>
        <w:tc>
          <w:tcPr>
            <w:tcW w:w="1859" w:type="dxa"/>
          </w:tcPr>
          <w:p w:rsidR="00581958" w:rsidRDefault="00581958" w:rsidP="00581958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20-09-21</w:t>
            </w:r>
          </w:p>
        </w:tc>
      </w:tr>
      <w:tr w:rsidR="00581958" w:rsidTr="00880C72">
        <w:trPr>
          <w:trHeight w:val="475"/>
        </w:trPr>
        <w:tc>
          <w:tcPr>
            <w:tcW w:w="7198" w:type="dxa"/>
          </w:tcPr>
          <w:p w:rsidR="00581958" w:rsidRPr="00A7501A" w:rsidRDefault="00B75FC7" w:rsidP="00581958">
            <w:pPr>
              <w:spacing w:before="100" w:beforeAutospacing="1" w:after="75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11" w:history="1">
              <w:r w:rsidR="00581958" w:rsidRPr="00A7501A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Activity 1.5: Developing your teaching – your role in establishing positive behaviour</w:t>
              </w:r>
            </w:hyperlink>
          </w:p>
        </w:tc>
        <w:tc>
          <w:tcPr>
            <w:tcW w:w="1859" w:type="dxa"/>
          </w:tcPr>
          <w:p w:rsidR="00581958" w:rsidRDefault="00581958" w:rsidP="00581958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27-09-21</w:t>
            </w:r>
          </w:p>
        </w:tc>
      </w:tr>
      <w:tr w:rsidR="00581958" w:rsidTr="00880C72">
        <w:trPr>
          <w:trHeight w:val="475"/>
        </w:trPr>
        <w:tc>
          <w:tcPr>
            <w:tcW w:w="7198" w:type="dxa"/>
          </w:tcPr>
          <w:p w:rsidR="00581958" w:rsidRPr="00A7501A" w:rsidRDefault="00B75FC7" w:rsidP="00581958">
            <w:pPr>
              <w:spacing w:before="100" w:beforeAutospacing="1" w:after="75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12" w:history="1">
              <w:r w:rsidR="00581958" w:rsidRPr="00A7501A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Activity 1.6: Observations</w:t>
              </w:r>
            </w:hyperlink>
            <w:r w:rsidR="00581958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of other colleagues</w:t>
            </w:r>
          </w:p>
        </w:tc>
        <w:tc>
          <w:tcPr>
            <w:tcW w:w="1859" w:type="dxa"/>
          </w:tcPr>
          <w:p w:rsidR="00581958" w:rsidRDefault="00581958" w:rsidP="00581958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4-10-21</w:t>
            </w:r>
          </w:p>
        </w:tc>
      </w:tr>
      <w:tr w:rsidR="00581958" w:rsidTr="00880C72">
        <w:trPr>
          <w:trHeight w:val="487"/>
        </w:trPr>
        <w:tc>
          <w:tcPr>
            <w:tcW w:w="7198" w:type="dxa"/>
          </w:tcPr>
          <w:p w:rsidR="00581958" w:rsidRPr="00A7501A" w:rsidRDefault="00B75FC7" w:rsidP="00581958">
            <w:pPr>
              <w:spacing w:before="100" w:beforeAutospacing="1" w:after="75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13" w:history="1">
              <w:r w:rsidR="00581958" w:rsidRPr="00A7501A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Activity 1.7: Reflecting on learning</w:t>
              </w:r>
            </w:hyperlink>
          </w:p>
        </w:tc>
        <w:tc>
          <w:tcPr>
            <w:tcW w:w="1859" w:type="dxa"/>
          </w:tcPr>
          <w:p w:rsidR="00581958" w:rsidRDefault="00581958" w:rsidP="00581958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11-10-21</w:t>
            </w:r>
          </w:p>
        </w:tc>
      </w:tr>
      <w:tr w:rsidR="00581958" w:rsidTr="00880C72">
        <w:trPr>
          <w:trHeight w:val="487"/>
        </w:trPr>
        <w:tc>
          <w:tcPr>
            <w:tcW w:w="7198" w:type="dxa"/>
          </w:tcPr>
          <w:p w:rsidR="00581958" w:rsidRDefault="0060479B" w:rsidP="00581958">
            <w:pPr>
              <w:spacing w:before="100" w:beforeAutospacing="1" w:after="75"/>
            </w:pP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Planning </w:t>
            </w:r>
            <w:r w:rsidR="00581958" w:rsidRPr="00581958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>for next half term</w:t>
            </w:r>
          </w:p>
        </w:tc>
        <w:tc>
          <w:tcPr>
            <w:tcW w:w="1859" w:type="dxa"/>
          </w:tcPr>
          <w:p w:rsidR="00581958" w:rsidRDefault="00581958" w:rsidP="00581958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18-10-21</w:t>
            </w:r>
          </w:p>
        </w:tc>
      </w:tr>
    </w:tbl>
    <w:p w:rsidR="00E8075A" w:rsidRPr="005036B1" w:rsidRDefault="00B75FC7" w:rsidP="003842D6">
      <w:pPr>
        <w:shd w:val="clear" w:color="auto" w:fill="FFFFFF"/>
        <w:spacing w:before="100" w:beforeAutospacing="1" w:after="75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  <w:hyperlink r:id="rId14" w:history="1">
        <w:r w:rsidR="00A7501A" w:rsidRPr="00672FD4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https://www.early-career-framework.education.gov.uk/edt/edt-early-career-framework/self-directed-study-materials/</w:t>
        </w:r>
      </w:hyperlink>
    </w:p>
    <w:p w:rsidR="00F82E11" w:rsidRPr="00894993" w:rsidRDefault="00672FD4" w:rsidP="00672FD4">
      <w:pPr>
        <w:shd w:val="clear" w:color="auto" w:fill="FFFFFF"/>
        <w:spacing w:before="100" w:beforeAutospacing="1" w:after="75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>
        <w:rPr>
          <w:rFonts w:eastAsia="Times New Roman" w:cstheme="minorHAnsi"/>
          <w:color w:val="0B0C0C"/>
          <w:sz w:val="24"/>
          <w:szCs w:val="24"/>
          <w:lang w:eastAsia="en-GB"/>
        </w:rPr>
        <w:lastRenderedPageBreak/>
        <w:t xml:space="preserve">BLOCK 2 </w:t>
      </w:r>
      <w:r w:rsidR="00F82E11">
        <w:rPr>
          <w:rFonts w:eastAsia="Times New Roman" w:cstheme="minorHAnsi"/>
          <w:color w:val="0B0C0C"/>
          <w:sz w:val="24"/>
          <w:szCs w:val="24"/>
          <w:lang w:eastAsia="en-GB"/>
        </w:rPr>
        <w:t>How pupils learn - memory and cognition</w:t>
      </w:r>
    </w:p>
    <w:tbl>
      <w:tblPr>
        <w:tblStyle w:val="TableGrid"/>
        <w:tblW w:w="9163" w:type="dxa"/>
        <w:tblLook w:val="04A0" w:firstRow="1" w:lastRow="0" w:firstColumn="1" w:lastColumn="0" w:noHBand="0" w:noVBand="1"/>
      </w:tblPr>
      <w:tblGrid>
        <w:gridCol w:w="7282"/>
        <w:gridCol w:w="1881"/>
      </w:tblGrid>
      <w:tr w:rsidR="00F82E11" w:rsidTr="00A9212E">
        <w:trPr>
          <w:trHeight w:val="444"/>
        </w:trPr>
        <w:tc>
          <w:tcPr>
            <w:tcW w:w="7282" w:type="dxa"/>
          </w:tcPr>
          <w:p w:rsidR="00F82E11" w:rsidRPr="00A7501A" w:rsidRDefault="00F82E11" w:rsidP="00131D84">
            <w:pPr>
              <w:spacing w:before="100" w:beforeAutospacing="1" w:after="75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A7501A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Activity </w:t>
            </w:r>
          </w:p>
        </w:tc>
        <w:tc>
          <w:tcPr>
            <w:tcW w:w="1881" w:type="dxa"/>
          </w:tcPr>
          <w:p w:rsidR="00F82E11" w:rsidRDefault="00F82E11" w:rsidP="00131D84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A7501A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Date</w:t>
            </w:r>
          </w:p>
          <w:p w:rsidR="00F82E11" w:rsidRPr="00A7501A" w:rsidRDefault="00F82E11" w:rsidP="00131D84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(</w:t>
            </w:r>
            <w:r w:rsidRPr="00A7501A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Week beginning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)</w:t>
            </w:r>
          </w:p>
        </w:tc>
      </w:tr>
      <w:tr w:rsidR="00F82E11" w:rsidTr="00A9212E">
        <w:trPr>
          <w:trHeight w:val="444"/>
        </w:trPr>
        <w:tc>
          <w:tcPr>
            <w:tcW w:w="7282" w:type="dxa"/>
          </w:tcPr>
          <w:p w:rsidR="00F82E11" w:rsidRPr="00A9212E" w:rsidRDefault="00B75FC7" w:rsidP="00131D84">
            <w:pPr>
              <w:spacing w:before="100" w:beforeAutospacing="1" w:after="75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15" w:history="1">
              <w:r w:rsidR="00A9212E" w:rsidRPr="00A9212E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Activity 2.1: What you will learn, and video introduction to the Block</w:t>
              </w:r>
            </w:hyperlink>
          </w:p>
        </w:tc>
        <w:tc>
          <w:tcPr>
            <w:tcW w:w="1881" w:type="dxa"/>
          </w:tcPr>
          <w:p w:rsidR="00F82E11" w:rsidRDefault="00306FDE" w:rsidP="00131D84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1-11-21</w:t>
            </w:r>
          </w:p>
        </w:tc>
      </w:tr>
      <w:tr w:rsidR="00F82E11" w:rsidTr="00A9212E">
        <w:trPr>
          <w:trHeight w:val="444"/>
        </w:trPr>
        <w:tc>
          <w:tcPr>
            <w:tcW w:w="7282" w:type="dxa"/>
          </w:tcPr>
          <w:p w:rsidR="00F82E11" w:rsidRPr="00A9212E" w:rsidRDefault="00B75FC7" w:rsidP="00131D84">
            <w:pPr>
              <w:spacing w:before="100" w:beforeAutospacing="1" w:after="75"/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16" w:history="1">
              <w:r w:rsidR="00A9212E" w:rsidRPr="00A9212E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Activity 2.2: Understanding the evidence</w:t>
              </w:r>
            </w:hyperlink>
          </w:p>
        </w:tc>
        <w:tc>
          <w:tcPr>
            <w:tcW w:w="1881" w:type="dxa"/>
          </w:tcPr>
          <w:p w:rsidR="00F82E11" w:rsidRDefault="00306FDE" w:rsidP="00131D84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8-11-21</w:t>
            </w:r>
          </w:p>
        </w:tc>
      </w:tr>
      <w:tr w:rsidR="00F82E11" w:rsidTr="00A9212E">
        <w:trPr>
          <w:trHeight w:val="444"/>
        </w:trPr>
        <w:tc>
          <w:tcPr>
            <w:tcW w:w="7282" w:type="dxa"/>
          </w:tcPr>
          <w:p w:rsidR="00AF1D95" w:rsidRDefault="00B75FC7" w:rsidP="00AF1D95">
            <w:pPr>
              <w:spacing w:after="75"/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17" w:history="1">
              <w:r w:rsidR="00A9212E" w:rsidRPr="00A9212E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Activity 2.3: Learning about… prior knowledge, misconceptions and worked examples</w:t>
              </w:r>
            </w:hyperlink>
          </w:p>
          <w:p w:rsidR="00AF1D95" w:rsidRPr="00AF1D95" w:rsidRDefault="00AF1D95" w:rsidP="00AF1D95">
            <w:pPr>
              <w:spacing w:after="75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>Observations b</w:t>
            </w:r>
            <w:r w:rsidR="002340BD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>y mentor – quality assured by SLT partner</w:t>
            </w:r>
          </w:p>
        </w:tc>
        <w:tc>
          <w:tcPr>
            <w:tcW w:w="1881" w:type="dxa"/>
          </w:tcPr>
          <w:p w:rsidR="00F82E11" w:rsidRDefault="00306FDE" w:rsidP="00131D84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15-11-21</w:t>
            </w:r>
          </w:p>
        </w:tc>
      </w:tr>
      <w:tr w:rsidR="00F82E11" w:rsidTr="00A9212E">
        <w:trPr>
          <w:trHeight w:val="444"/>
        </w:trPr>
        <w:tc>
          <w:tcPr>
            <w:tcW w:w="7282" w:type="dxa"/>
          </w:tcPr>
          <w:p w:rsidR="00F82E11" w:rsidRPr="00A9212E" w:rsidRDefault="00B75FC7" w:rsidP="00131D84">
            <w:pPr>
              <w:spacing w:before="100" w:beforeAutospacing="1" w:after="75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18" w:history="1">
              <w:r w:rsidR="00A9212E" w:rsidRPr="00A9212E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Activity 2.4: Developing your teaching</w:t>
              </w:r>
            </w:hyperlink>
          </w:p>
        </w:tc>
        <w:tc>
          <w:tcPr>
            <w:tcW w:w="1881" w:type="dxa"/>
          </w:tcPr>
          <w:p w:rsidR="00F82E11" w:rsidRDefault="00306FDE" w:rsidP="00131D84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22-11-21</w:t>
            </w:r>
          </w:p>
        </w:tc>
      </w:tr>
      <w:tr w:rsidR="00F82E11" w:rsidTr="00A9212E">
        <w:trPr>
          <w:trHeight w:val="444"/>
        </w:trPr>
        <w:tc>
          <w:tcPr>
            <w:tcW w:w="7282" w:type="dxa"/>
          </w:tcPr>
          <w:p w:rsidR="00F82E11" w:rsidRPr="00A9212E" w:rsidRDefault="00B75FC7" w:rsidP="00131D84">
            <w:pPr>
              <w:spacing w:before="100" w:beforeAutospacing="1" w:after="75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19" w:history="1">
              <w:r w:rsidR="00A9212E" w:rsidRPr="00A9212E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Activity 2.5: Improving your teac</w:t>
              </w:r>
              <w:r w:rsidR="0093754C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hing:</w:t>
              </w:r>
              <w:r w:rsidR="00A9212E" w:rsidRPr="00A9212E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lesson observations</w:t>
              </w:r>
            </w:hyperlink>
            <w:r w:rsidR="0093754C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- </w:t>
            </w:r>
            <w:r w:rsidR="00EA72D4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>colleagues</w:t>
            </w:r>
          </w:p>
        </w:tc>
        <w:tc>
          <w:tcPr>
            <w:tcW w:w="1881" w:type="dxa"/>
          </w:tcPr>
          <w:p w:rsidR="00F82E11" w:rsidRDefault="00306FDE" w:rsidP="00131D84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29-11-21</w:t>
            </w:r>
          </w:p>
        </w:tc>
      </w:tr>
      <w:tr w:rsidR="00F82E11" w:rsidTr="00A9212E">
        <w:trPr>
          <w:trHeight w:val="444"/>
        </w:trPr>
        <w:tc>
          <w:tcPr>
            <w:tcW w:w="7282" w:type="dxa"/>
          </w:tcPr>
          <w:p w:rsidR="00F82E11" w:rsidRPr="00A9212E" w:rsidRDefault="00B75FC7" w:rsidP="00131D84">
            <w:pPr>
              <w:spacing w:before="100" w:beforeAutospacing="1" w:after="75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20" w:history="1">
              <w:r w:rsidR="00A9212E" w:rsidRPr="00A9212E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Activity 2.6: Reflecting on learning</w:t>
              </w:r>
            </w:hyperlink>
          </w:p>
        </w:tc>
        <w:tc>
          <w:tcPr>
            <w:tcW w:w="1881" w:type="dxa"/>
          </w:tcPr>
          <w:p w:rsidR="00F82E11" w:rsidRDefault="00306FDE" w:rsidP="00131D84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6-12-21</w:t>
            </w:r>
          </w:p>
        </w:tc>
      </w:tr>
      <w:tr w:rsidR="00212C4F" w:rsidTr="00A9212E">
        <w:trPr>
          <w:trHeight w:val="444"/>
        </w:trPr>
        <w:tc>
          <w:tcPr>
            <w:tcW w:w="7282" w:type="dxa"/>
          </w:tcPr>
          <w:p w:rsidR="00212C4F" w:rsidRDefault="00212C4F" w:rsidP="00131D84">
            <w:pPr>
              <w:spacing w:before="100" w:beforeAutospacing="1" w:after="75"/>
            </w:pPr>
            <w:r>
              <w:t>Planning for next half term</w:t>
            </w:r>
          </w:p>
        </w:tc>
        <w:tc>
          <w:tcPr>
            <w:tcW w:w="1881" w:type="dxa"/>
          </w:tcPr>
          <w:p w:rsidR="00212C4F" w:rsidRDefault="00212C4F" w:rsidP="00131D84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13-12-21</w:t>
            </w:r>
          </w:p>
        </w:tc>
      </w:tr>
    </w:tbl>
    <w:p w:rsidR="00306FDE" w:rsidRPr="00834E30" w:rsidRDefault="00834E30" w:rsidP="00306FDE">
      <w:pPr>
        <w:shd w:val="clear" w:color="auto" w:fill="FFFFFF"/>
        <w:spacing w:before="100" w:beforeAutospacing="1" w:after="75" w:line="240" w:lineRule="auto"/>
        <w:rPr>
          <w:rStyle w:val="Hyperlink"/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/>
      </w:r>
      <w:r>
        <w:rPr>
          <w:rFonts w:eastAsia="Times New Roman" w:cstheme="minorHAnsi"/>
          <w:sz w:val="24"/>
          <w:szCs w:val="24"/>
          <w:lang w:eastAsia="en-GB"/>
        </w:rPr>
        <w:instrText xml:space="preserve"> HYPERLINK "https://www.early-career-framework.education.gov.uk/edt/edt-early-career-framework/self-directed-study-materials/" </w:instrText>
      </w:r>
      <w:r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="00306FDE" w:rsidRPr="00834E30">
        <w:rPr>
          <w:rStyle w:val="Hyperlink"/>
          <w:rFonts w:eastAsia="Times New Roman" w:cstheme="minorHAnsi"/>
          <w:sz w:val="24"/>
          <w:szCs w:val="24"/>
          <w:lang w:eastAsia="en-GB"/>
        </w:rPr>
        <w:t>https://www.early-career-framework.education.gov.uk/edt/edt-early-career-framework/self-directed-study-materials/</w:t>
      </w:r>
    </w:p>
    <w:p w:rsidR="00BF180A" w:rsidRDefault="00834E30" w:rsidP="003842D6">
      <w:pPr>
        <w:shd w:val="clear" w:color="auto" w:fill="FFFFFF"/>
        <w:spacing w:before="100" w:beforeAutospacing="1" w:after="75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end"/>
      </w:r>
    </w:p>
    <w:p w:rsidR="00447733" w:rsidRDefault="00447733" w:rsidP="003842D6">
      <w:pPr>
        <w:shd w:val="clear" w:color="auto" w:fill="FFFFFF"/>
        <w:spacing w:before="100" w:beforeAutospacing="1" w:after="75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4B7FDE" w:rsidRPr="003842D6" w:rsidRDefault="00210B25" w:rsidP="003842D6">
      <w:pPr>
        <w:shd w:val="clear" w:color="auto" w:fill="FFFFFF"/>
        <w:spacing w:before="100" w:beforeAutospacing="1" w:after="75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>
        <w:rPr>
          <w:rFonts w:eastAsia="Times New Roman" w:cstheme="minorHAnsi"/>
          <w:color w:val="0B0C0C"/>
          <w:sz w:val="24"/>
          <w:szCs w:val="24"/>
          <w:lang w:eastAsia="en-GB"/>
        </w:rPr>
        <w:t>The option College Town has chosen ensures:</w:t>
      </w:r>
    </w:p>
    <w:p w:rsidR="004B7FDE" w:rsidRPr="004B7FDE" w:rsidRDefault="00210B25" w:rsidP="004B7FD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B7FDE">
        <w:rPr>
          <w:sz w:val="24"/>
          <w:szCs w:val="24"/>
        </w:rPr>
        <w:t xml:space="preserve">A sequenced two-year programme based on the Early Career Framework. </w:t>
      </w:r>
    </w:p>
    <w:p w:rsidR="004B7FDE" w:rsidRPr="004B7FDE" w:rsidRDefault="00210B25" w:rsidP="004B7FD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B7FDE">
        <w:rPr>
          <w:sz w:val="24"/>
          <w:szCs w:val="24"/>
        </w:rPr>
        <w:t xml:space="preserve">Self-directed study materials for early career teachers including videos and evidence based reading. </w:t>
      </w:r>
    </w:p>
    <w:p w:rsidR="004B7FDE" w:rsidRPr="004B7FDE" w:rsidRDefault="00210B25" w:rsidP="004B7FD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B7FDE">
        <w:rPr>
          <w:sz w:val="24"/>
          <w:szCs w:val="24"/>
        </w:rPr>
        <w:t xml:space="preserve">Materials to support mentor sessions designed to reduce mentor workload. </w:t>
      </w:r>
    </w:p>
    <w:p w:rsidR="004B7FDE" w:rsidRPr="004B7FDE" w:rsidRDefault="00210B25" w:rsidP="004B7FD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B7FDE">
        <w:rPr>
          <w:sz w:val="24"/>
          <w:szCs w:val="24"/>
        </w:rPr>
        <w:t>Materials to adapt to deliver further training for early career teachers.</w:t>
      </w:r>
    </w:p>
    <w:p w:rsidR="00210B25" w:rsidRPr="00BF180A" w:rsidRDefault="00210B25" w:rsidP="004B7FD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B7FDE">
        <w:rPr>
          <w:sz w:val="24"/>
          <w:szCs w:val="24"/>
        </w:rPr>
        <w:t xml:space="preserve">Time off timetable funded for early career teachers and mentors in the second year of induction. </w:t>
      </w:r>
    </w:p>
    <w:p w:rsidR="00BF180A" w:rsidRDefault="00BF180A" w:rsidP="00BF180A">
      <w:pPr>
        <w:rPr>
          <w:rFonts w:cstheme="minorHAnsi"/>
          <w:sz w:val="24"/>
          <w:szCs w:val="24"/>
        </w:rPr>
      </w:pPr>
    </w:p>
    <w:p w:rsidR="00BF180A" w:rsidRDefault="00BF180A" w:rsidP="00BF18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Expectations:</w:t>
      </w:r>
    </w:p>
    <w:p w:rsidR="00BF180A" w:rsidRPr="00741744" w:rsidRDefault="00BF180A" w:rsidP="0074174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41744">
        <w:rPr>
          <w:rFonts w:cstheme="minorHAnsi"/>
          <w:sz w:val="24"/>
          <w:szCs w:val="24"/>
        </w:rPr>
        <w:t>All ECT</w:t>
      </w:r>
      <w:r w:rsidR="00741744">
        <w:rPr>
          <w:rFonts w:cstheme="minorHAnsi"/>
          <w:sz w:val="24"/>
          <w:szCs w:val="24"/>
        </w:rPr>
        <w:t>s will keep a professional studies</w:t>
      </w:r>
      <w:r w:rsidRPr="00741744">
        <w:rPr>
          <w:rFonts w:cstheme="minorHAnsi"/>
          <w:sz w:val="24"/>
          <w:szCs w:val="24"/>
        </w:rPr>
        <w:t xml:space="preserve"> file</w:t>
      </w:r>
      <w:r w:rsidR="00741744">
        <w:rPr>
          <w:rFonts w:cstheme="minorHAnsi"/>
          <w:sz w:val="24"/>
          <w:szCs w:val="24"/>
        </w:rPr>
        <w:t xml:space="preserve"> of their work on each of the blocks of the Early Career Framework and will </w:t>
      </w:r>
      <w:r w:rsidRPr="00741744">
        <w:rPr>
          <w:rFonts w:cstheme="minorHAnsi"/>
          <w:sz w:val="24"/>
          <w:szCs w:val="24"/>
        </w:rPr>
        <w:t>keep evidence of their learning</w:t>
      </w:r>
      <w:r w:rsidR="00741744" w:rsidRPr="00741744">
        <w:rPr>
          <w:rFonts w:cstheme="minorHAnsi"/>
          <w:sz w:val="24"/>
          <w:szCs w:val="24"/>
        </w:rPr>
        <w:t xml:space="preserve"> and response</w:t>
      </w:r>
      <w:r w:rsidR="00741744">
        <w:rPr>
          <w:rFonts w:cstheme="minorHAnsi"/>
          <w:sz w:val="24"/>
          <w:szCs w:val="24"/>
        </w:rPr>
        <w:t>s</w:t>
      </w:r>
      <w:r w:rsidR="00741744" w:rsidRPr="00741744">
        <w:rPr>
          <w:rFonts w:cstheme="minorHAnsi"/>
          <w:sz w:val="24"/>
          <w:szCs w:val="24"/>
        </w:rPr>
        <w:t xml:space="preserve"> to key questions </w:t>
      </w:r>
      <w:r w:rsidR="00741744">
        <w:rPr>
          <w:rFonts w:cstheme="minorHAnsi"/>
          <w:sz w:val="24"/>
          <w:szCs w:val="24"/>
        </w:rPr>
        <w:t xml:space="preserve">in a professional notebook. </w:t>
      </w:r>
      <w:r w:rsidR="00BD7842">
        <w:rPr>
          <w:rFonts w:cstheme="minorHAnsi"/>
          <w:sz w:val="24"/>
          <w:szCs w:val="24"/>
        </w:rPr>
        <w:t>This will form part of the weekly CPD meeting with the mentor.</w:t>
      </w:r>
      <w:r w:rsidR="00741744">
        <w:br/>
      </w:r>
    </w:p>
    <w:p w:rsidR="00210B25" w:rsidRDefault="00210B25" w:rsidP="00210B25">
      <w:pPr>
        <w:pStyle w:val="ListParagraph"/>
        <w:rPr>
          <w:rFonts w:cstheme="minorHAnsi"/>
          <w:sz w:val="24"/>
          <w:szCs w:val="24"/>
        </w:rPr>
      </w:pPr>
    </w:p>
    <w:p w:rsidR="008F4C46" w:rsidRDefault="008F4C46" w:rsidP="00210B25">
      <w:pPr>
        <w:pStyle w:val="ListParagraph"/>
        <w:rPr>
          <w:rFonts w:cstheme="minorHAnsi"/>
          <w:sz w:val="24"/>
          <w:szCs w:val="24"/>
        </w:rPr>
      </w:pPr>
    </w:p>
    <w:p w:rsidR="008F4C46" w:rsidRDefault="008F4C46" w:rsidP="00210B25">
      <w:pPr>
        <w:pStyle w:val="ListParagraph"/>
        <w:rPr>
          <w:rFonts w:cstheme="minorHAnsi"/>
          <w:sz w:val="24"/>
          <w:szCs w:val="24"/>
        </w:rPr>
      </w:pPr>
    </w:p>
    <w:p w:rsidR="008F4C46" w:rsidRDefault="008F4C46" w:rsidP="00210B25">
      <w:pPr>
        <w:pStyle w:val="ListParagraph"/>
        <w:rPr>
          <w:rFonts w:cstheme="minorHAnsi"/>
          <w:sz w:val="24"/>
          <w:szCs w:val="24"/>
        </w:rPr>
      </w:pPr>
    </w:p>
    <w:p w:rsidR="008F4C46" w:rsidRDefault="008F4C46" w:rsidP="00210B25">
      <w:pPr>
        <w:pStyle w:val="ListParagraph"/>
        <w:rPr>
          <w:rFonts w:cstheme="minorHAnsi"/>
          <w:sz w:val="24"/>
          <w:szCs w:val="24"/>
        </w:rPr>
      </w:pPr>
    </w:p>
    <w:p w:rsidR="008F4C46" w:rsidRPr="00894993" w:rsidRDefault="008F4C46" w:rsidP="00894993">
      <w:pPr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D76544">
        <w:rPr>
          <w:rFonts w:eastAsia="Times New Roman" w:cstheme="minorHAnsi"/>
          <w:color w:val="0B0C0C"/>
          <w:sz w:val="24"/>
          <w:szCs w:val="24"/>
          <w:lang w:eastAsia="en-GB"/>
        </w:rPr>
        <w:lastRenderedPageBreak/>
        <w:t>BLOCK 3 Developing effective classroom practice – teaching and adapting</w:t>
      </w:r>
    </w:p>
    <w:tbl>
      <w:tblPr>
        <w:tblStyle w:val="TableGrid"/>
        <w:tblW w:w="9163" w:type="dxa"/>
        <w:tblLook w:val="04A0" w:firstRow="1" w:lastRow="0" w:firstColumn="1" w:lastColumn="0" w:noHBand="0" w:noVBand="1"/>
      </w:tblPr>
      <w:tblGrid>
        <w:gridCol w:w="7282"/>
        <w:gridCol w:w="1881"/>
      </w:tblGrid>
      <w:tr w:rsidR="008F4C46" w:rsidTr="00131D84">
        <w:trPr>
          <w:trHeight w:val="444"/>
        </w:trPr>
        <w:tc>
          <w:tcPr>
            <w:tcW w:w="7282" w:type="dxa"/>
          </w:tcPr>
          <w:p w:rsidR="008F4C46" w:rsidRPr="00A7501A" w:rsidRDefault="008F4C46" w:rsidP="00131D84">
            <w:pPr>
              <w:spacing w:before="100" w:beforeAutospacing="1" w:after="75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A7501A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Activity </w:t>
            </w:r>
          </w:p>
        </w:tc>
        <w:tc>
          <w:tcPr>
            <w:tcW w:w="1881" w:type="dxa"/>
          </w:tcPr>
          <w:p w:rsidR="008F4C46" w:rsidRDefault="008F4C46" w:rsidP="00131D84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A7501A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Date</w:t>
            </w:r>
          </w:p>
          <w:p w:rsidR="008F4C46" w:rsidRPr="00A7501A" w:rsidRDefault="008F4C46" w:rsidP="00131D84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(</w:t>
            </w:r>
            <w:r w:rsidRPr="00A7501A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Week beginning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)</w:t>
            </w:r>
          </w:p>
        </w:tc>
      </w:tr>
      <w:tr w:rsidR="008F4C46" w:rsidTr="00131D84">
        <w:trPr>
          <w:trHeight w:val="444"/>
        </w:trPr>
        <w:tc>
          <w:tcPr>
            <w:tcW w:w="7282" w:type="dxa"/>
          </w:tcPr>
          <w:p w:rsidR="008F4C46" w:rsidRPr="00EA6598" w:rsidRDefault="00B75FC7" w:rsidP="00131D84">
            <w:pPr>
              <w:spacing w:before="100" w:beforeAutospacing="1" w:after="75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21" w:history="1">
              <w:r w:rsidR="00EA6598" w:rsidRPr="00EA6598">
                <w:rPr>
                  <w:rStyle w:val="Hyperlink"/>
                  <w:rFonts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3.1: What you will learn, and video introduction to the Block</w:t>
              </w:r>
            </w:hyperlink>
          </w:p>
        </w:tc>
        <w:tc>
          <w:tcPr>
            <w:tcW w:w="1881" w:type="dxa"/>
          </w:tcPr>
          <w:p w:rsidR="008F4C46" w:rsidRDefault="003E0F63" w:rsidP="00131D84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4-01-22 </w:t>
            </w:r>
            <w:r w:rsidRPr="003E0F63">
              <w:rPr>
                <w:rFonts w:eastAsia="Times New Roman" w:cstheme="minorHAnsi"/>
                <w:color w:val="0B0C0C"/>
                <w:sz w:val="16"/>
                <w:szCs w:val="16"/>
                <w:lang w:eastAsia="en-GB"/>
              </w:rPr>
              <w:t>(Tues)</w:t>
            </w:r>
          </w:p>
        </w:tc>
      </w:tr>
      <w:tr w:rsidR="008F4C46" w:rsidTr="00131D84">
        <w:trPr>
          <w:trHeight w:val="444"/>
        </w:trPr>
        <w:tc>
          <w:tcPr>
            <w:tcW w:w="7282" w:type="dxa"/>
          </w:tcPr>
          <w:p w:rsidR="008F4C46" w:rsidRPr="00EA6598" w:rsidRDefault="00B75FC7" w:rsidP="00131D84">
            <w:pPr>
              <w:spacing w:before="100" w:beforeAutospacing="1" w:after="75"/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22" w:history="1">
              <w:r w:rsidR="00EA6598" w:rsidRPr="00EA6598">
                <w:rPr>
                  <w:rStyle w:val="Hyperlink"/>
                  <w:rFonts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3.2: Understanding the evidence 1: effective teaching</w:t>
              </w:r>
            </w:hyperlink>
          </w:p>
        </w:tc>
        <w:tc>
          <w:tcPr>
            <w:tcW w:w="1881" w:type="dxa"/>
          </w:tcPr>
          <w:p w:rsidR="008F4C46" w:rsidRDefault="003E0F63" w:rsidP="00131D84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10-01-22</w:t>
            </w:r>
          </w:p>
        </w:tc>
      </w:tr>
      <w:tr w:rsidR="008F4C46" w:rsidTr="00131D84">
        <w:trPr>
          <w:trHeight w:val="444"/>
        </w:trPr>
        <w:tc>
          <w:tcPr>
            <w:tcW w:w="7282" w:type="dxa"/>
          </w:tcPr>
          <w:p w:rsidR="008F4C46" w:rsidRPr="00EA6598" w:rsidRDefault="00B75FC7" w:rsidP="00131D84">
            <w:pPr>
              <w:spacing w:before="100" w:beforeAutospacing="1" w:after="75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23" w:history="1">
              <w:r w:rsidR="00EA6598" w:rsidRPr="00EA6598">
                <w:rPr>
                  <w:rStyle w:val="Hyperlink"/>
                  <w:rFonts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3.3: Understanding the evidence 2: metacognition and teaching</w:t>
              </w:r>
            </w:hyperlink>
          </w:p>
        </w:tc>
        <w:tc>
          <w:tcPr>
            <w:tcW w:w="1881" w:type="dxa"/>
          </w:tcPr>
          <w:p w:rsidR="008F4C46" w:rsidRDefault="003E0F63" w:rsidP="00131D84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17-01-22</w:t>
            </w:r>
          </w:p>
        </w:tc>
      </w:tr>
      <w:tr w:rsidR="008F4C46" w:rsidTr="00131D84">
        <w:trPr>
          <w:trHeight w:val="444"/>
        </w:trPr>
        <w:tc>
          <w:tcPr>
            <w:tcW w:w="7282" w:type="dxa"/>
          </w:tcPr>
          <w:p w:rsidR="008F4C46" w:rsidRDefault="00B75FC7" w:rsidP="006D59B2">
            <w:pPr>
              <w:spacing w:after="75"/>
              <w:rPr>
                <w:rStyle w:val="Hyperlink"/>
                <w:rFonts w:cs="Arial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24" w:history="1">
              <w:r w:rsidR="00EA6598" w:rsidRPr="00EA6598">
                <w:rPr>
                  <w:rStyle w:val="Hyperlink"/>
                  <w:rFonts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3.4: Learning about adaptive teaching</w:t>
              </w:r>
            </w:hyperlink>
          </w:p>
          <w:p w:rsidR="006D59B2" w:rsidRPr="00EA6598" w:rsidRDefault="0093754C" w:rsidP="006D59B2">
            <w:pPr>
              <w:spacing w:after="75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>Observations</w:t>
            </w:r>
            <w:r w:rsidR="006D59B2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by mentor </w:t>
            </w:r>
          </w:p>
        </w:tc>
        <w:tc>
          <w:tcPr>
            <w:tcW w:w="1881" w:type="dxa"/>
          </w:tcPr>
          <w:p w:rsidR="008F4C46" w:rsidRDefault="003E0F63" w:rsidP="00131D84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24-01-22</w:t>
            </w:r>
          </w:p>
        </w:tc>
      </w:tr>
      <w:tr w:rsidR="008F4C46" w:rsidTr="00131D84">
        <w:trPr>
          <w:trHeight w:val="444"/>
        </w:trPr>
        <w:tc>
          <w:tcPr>
            <w:tcW w:w="7282" w:type="dxa"/>
          </w:tcPr>
          <w:p w:rsidR="008F4C46" w:rsidRPr="00EA6598" w:rsidRDefault="00B75FC7" w:rsidP="00131D84">
            <w:pPr>
              <w:spacing w:before="100" w:beforeAutospacing="1" w:after="75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25" w:history="1">
              <w:r w:rsidR="00EA6598" w:rsidRPr="00EA6598">
                <w:rPr>
                  <w:rStyle w:val="Hyperlink"/>
                  <w:rFonts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3.5: Developing your teaching</w:t>
              </w:r>
            </w:hyperlink>
          </w:p>
        </w:tc>
        <w:tc>
          <w:tcPr>
            <w:tcW w:w="1881" w:type="dxa"/>
          </w:tcPr>
          <w:p w:rsidR="008F4C46" w:rsidRDefault="003E0F63" w:rsidP="00131D84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31-01-22</w:t>
            </w:r>
          </w:p>
        </w:tc>
      </w:tr>
      <w:tr w:rsidR="008F4C46" w:rsidTr="00131D84">
        <w:trPr>
          <w:trHeight w:val="444"/>
        </w:trPr>
        <w:tc>
          <w:tcPr>
            <w:tcW w:w="7282" w:type="dxa"/>
          </w:tcPr>
          <w:p w:rsidR="008F4C46" w:rsidRPr="00EA6598" w:rsidRDefault="00B75FC7" w:rsidP="00131D84">
            <w:pPr>
              <w:spacing w:before="100" w:beforeAutospacing="1" w:after="75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26" w:history="1">
              <w:r w:rsidR="00EA6598" w:rsidRPr="00EA6598">
                <w:rPr>
                  <w:rStyle w:val="Hyperlink"/>
                  <w:rFonts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3.6: Improving your teaching: lesson observations</w:t>
              </w:r>
            </w:hyperlink>
            <w:r w:rsidR="004E55C1">
              <w:rPr>
                <w:rStyle w:val="Hyperlink"/>
                <w:rFonts w:cs="Arial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- </w:t>
            </w:r>
            <w:r w:rsidR="006D59B2">
              <w:rPr>
                <w:rStyle w:val="Hyperlink"/>
                <w:rFonts w:cs="Arial"/>
                <w:color w:val="auto"/>
                <w:sz w:val="24"/>
                <w:szCs w:val="24"/>
                <w:u w:val="none"/>
                <w:shd w:val="clear" w:color="auto" w:fill="FFFFFF"/>
              </w:rPr>
              <w:t>colleagues</w:t>
            </w:r>
          </w:p>
        </w:tc>
        <w:tc>
          <w:tcPr>
            <w:tcW w:w="1881" w:type="dxa"/>
          </w:tcPr>
          <w:p w:rsidR="008F4C46" w:rsidRDefault="003E0F63" w:rsidP="00131D84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7-02-22</w:t>
            </w:r>
          </w:p>
        </w:tc>
      </w:tr>
    </w:tbl>
    <w:p w:rsidR="008F4C46" w:rsidRDefault="008F4C46" w:rsidP="008F4C46">
      <w:pPr>
        <w:pStyle w:val="ListParagraph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AA28DD" w:rsidRDefault="00AA28DD" w:rsidP="00CF7FDB">
      <w:pPr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8F4C46" w:rsidRDefault="00CF7FDB" w:rsidP="00CF7FDB">
      <w:pPr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CF7FDB">
        <w:rPr>
          <w:rFonts w:eastAsia="Times New Roman" w:cstheme="minorHAnsi"/>
          <w:color w:val="0B0C0C"/>
          <w:sz w:val="24"/>
          <w:szCs w:val="24"/>
          <w:lang w:eastAsia="en-GB"/>
        </w:rPr>
        <w:t xml:space="preserve">BLOCK </w:t>
      </w:r>
      <w:r>
        <w:rPr>
          <w:rFonts w:eastAsia="Times New Roman" w:cstheme="minorHAnsi"/>
          <w:color w:val="0B0C0C"/>
          <w:sz w:val="24"/>
          <w:szCs w:val="24"/>
          <w:lang w:eastAsia="en-GB"/>
        </w:rPr>
        <w:t>4 The importance of subject and curriculum knowledge</w:t>
      </w:r>
    </w:p>
    <w:p w:rsidR="00AA28DD" w:rsidRDefault="00AA28DD" w:rsidP="00CF7FDB">
      <w:pPr>
        <w:rPr>
          <w:rFonts w:eastAsia="Times New Roman" w:cstheme="minorHAnsi"/>
          <w:color w:val="0B0C0C"/>
          <w:sz w:val="24"/>
          <w:szCs w:val="24"/>
          <w:lang w:eastAsia="en-GB"/>
        </w:rPr>
      </w:pPr>
    </w:p>
    <w:tbl>
      <w:tblPr>
        <w:tblStyle w:val="TableGrid"/>
        <w:tblW w:w="9163" w:type="dxa"/>
        <w:tblLook w:val="04A0" w:firstRow="1" w:lastRow="0" w:firstColumn="1" w:lastColumn="0" w:noHBand="0" w:noVBand="1"/>
      </w:tblPr>
      <w:tblGrid>
        <w:gridCol w:w="7282"/>
        <w:gridCol w:w="1881"/>
      </w:tblGrid>
      <w:tr w:rsidR="00CF7FDB" w:rsidTr="00131D84">
        <w:trPr>
          <w:trHeight w:val="444"/>
        </w:trPr>
        <w:tc>
          <w:tcPr>
            <w:tcW w:w="7282" w:type="dxa"/>
          </w:tcPr>
          <w:p w:rsidR="00CF7FDB" w:rsidRPr="00A7501A" w:rsidRDefault="00CF7FDB" w:rsidP="00131D84">
            <w:pPr>
              <w:spacing w:before="100" w:beforeAutospacing="1" w:after="75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A7501A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Activity </w:t>
            </w:r>
          </w:p>
        </w:tc>
        <w:tc>
          <w:tcPr>
            <w:tcW w:w="1881" w:type="dxa"/>
          </w:tcPr>
          <w:p w:rsidR="00CF7FDB" w:rsidRDefault="00CF7FDB" w:rsidP="00131D84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A7501A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Date</w:t>
            </w:r>
          </w:p>
          <w:p w:rsidR="00CF7FDB" w:rsidRPr="00A7501A" w:rsidRDefault="00CF7FDB" w:rsidP="00131D84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(</w:t>
            </w:r>
            <w:r w:rsidRPr="00A7501A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Week beginning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)</w:t>
            </w:r>
          </w:p>
        </w:tc>
      </w:tr>
      <w:tr w:rsidR="00CF7FDB" w:rsidTr="00131D84">
        <w:trPr>
          <w:trHeight w:val="444"/>
        </w:trPr>
        <w:tc>
          <w:tcPr>
            <w:tcW w:w="7282" w:type="dxa"/>
          </w:tcPr>
          <w:p w:rsidR="00CF7FDB" w:rsidRPr="00CF7FDB" w:rsidRDefault="00B75FC7" w:rsidP="00131D84">
            <w:pPr>
              <w:spacing w:before="100" w:beforeAutospacing="1" w:after="75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27" w:history="1">
              <w:r w:rsidR="00CF7FDB" w:rsidRPr="00CF7FDB">
                <w:rPr>
                  <w:rStyle w:val="Hyperlink"/>
                  <w:rFonts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Activity 4.1: What you will learn, and video introduction to the Block</w:t>
              </w:r>
            </w:hyperlink>
          </w:p>
        </w:tc>
        <w:tc>
          <w:tcPr>
            <w:tcW w:w="1881" w:type="dxa"/>
          </w:tcPr>
          <w:p w:rsidR="00CF7FDB" w:rsidRDefault="00CF7FDB" w:rsidP="00131D84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21-02-22</w:t>
            </w:r>
          </w:p>
        </w:tc>
      </w:tr>
      <w:tr w:rsidR="00CF7FDB" w:rsidTr="00131D84">
        <w:trPr>
          <w:trHeight w:val="444"/>
        </w:trPr>
        <w:tc>
          <w:tcPr>
            <w:tcW w:w="7282" w:type="dxa"/>
          </w:tcPr>
          <w:p w:rsidR="00CF7FDB" w:rsidRPr="00CF7FDB" w:rsidRDefault="00B75FC7" w:rsidP="00131D84">
            <w:pPr>
              <w:spacing w:before="100" w:beforeAutospacing="1" w:after="75"/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28" w:history="1">
              <w:r w:rsidR="00CF7FDB" w:rsidRPr="00CF7FDB">
                <w:rPr>
                  <w:rStyle w:val="Hyperlink"/>
                  <w:rFonts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Activity 4.2: Understanding the evidence</w:t>
              </w:r>
            </w:hyperlink>
          </w:p>
        </w:tc>
        <w:tc>
          <w:tcPr>
            <w:tcW w:w="1881" w:type="dxa"/>
          </w:tcPr>
          <w:p w:rsidR="00CF7FDB" w:rsidRDefault="00CF7FDB" w:rsidP="00131D84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28-02-22</w:t>
            </w:r>
          </w:p>
        </w:tc>
      </w:tr>
      <w:tr w:rsidR="00CF7FDB" w:rsidTr="00131D84">
        <w:trPr>
          <w:trHeight w:val="444"/>
        </w:trPr>
        <w:tc>
          <w:tcPr>
            <w:tcW w:w="7282" w:type="dxa"/>
          </w:tcPr>
          <w:p w:rsidR="00CF7FDB" w:rsidRPr="00CF7FDB" w:rsidRDefault="00B75FC7" w:rsidP="00131D84">
            <w:pPr>
              <w:spacing w:before="100" w:beforeAutospacing="1" w:after="75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29" w:history="1">
              <w:r w:rsidR="00CF7FDB" w:rsidRPr="00CF7FDB">
                <w:rPr>
                  <w:rStyle w:val="Hyperlink"/>
                  <w:rFonts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Activity 4.3: Learning about literacy</w:t>
              </w:r>
            </w:hyperlink>
          </w:p>
        </w:tc>
        <w:tc>
          <w:tcPr>
            <w:tcW w:w="1881" w:type="dxa"/>
          </w:tcPr>
          <w:p w:rsidR="00CF7FDB" w:rsidRDefault="00CF7FDB" w:rsidP="00131D84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7-03-22</w:t>
            </w:r>
          </w:p>
        </w:tc>
      </w:tr>
      <w:tr w:rsidR="00CF7FDB" w:rsidTr="00131D84">
        <w:trPr>
          <w:trHeight w:val="444"/>
        </w:trPr>
        <w:tc>
          <w:tcPr>
            <w:tcW w:w="7282" w:type="dxa"/>
          </w:tcPr>
          <w:p w:rsidR="0093754C" w:rsidRDefault="00B75FC7" w:rsidP="0093754C">
            <w:pPr>
              <w:spacing w:after="75"/>
              <w:rPr>
                <w:rStyle w:val="Hyperlink"/>
                <w:rFonts w:cs="Arial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30" w:history="1">
              <w:r w:rsidR="00CF7FDB" w:rsidRPr="00CF7FDB">
                <w:rPr>
                  <w:rStyle w:val="Hyperlink"/>
                  <w:rFonts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Activity 4.4: Developing your teaching</w:t>
              </w:r>
            </w:hyperlink>
          </w:p>
          <w:p w:rsidR="0093754C" w:rsidRPr="0093754C" w:rsidRDefault="0093754C" w:rsidP="0093754C">
            <w:pPr>
              <w:spacing w:after="75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>Observations by mentor</w:t>
            </w:r>
          </w:p>
        </w:tc>
        <w:tc>
          <w:tcPr>
            <w:tcW w:w="1881" w:type="dxa"/>
          </w:tcPr>
          <w:p w:rsidR="00CF7FDB" w:rsidRDefault="00CF7FDB" w:rsidP="00131D84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14-03-22</w:t>
            </w:r>
          </w:p>
        </w:tc>
      </w:tr>
      <w:tr w:rsidR="00CF7FDB" w:rsidTr="004E55C1">
        <w:trPr>
          <w:trHeight w:val="454"/>
        </w:trPr>
        <w:tc>
          <w:tcPr>
            <w:tcW w:w="7282" w:type="dxa"/>
          </w:tcPr>
          <w:p w:rsidR="004E55C1" w:rsidRPr="00CF7FDB" w:rsidRDefault="00B75FC7" w:rsidP="004E55C1">
            <w:pPr>
              <w:shd w:val="clear" w:color="auto" w:fill="FFFFFF"/>
              <w:rPr>
                <w:rFonts w:eastAsia="Times New Roman" w:cs="Arial"/>
                <w:sz w:val="24"/>
                <w:szCs w:val="24"/>
                <w:lang w:eastAsia="en-GB"/>
              </w:rPr>
            </w:pPr>
            <w:hyperlink r:id="rId31" w:history="1">
              <w:r w:rsidR="00CF7FDB" w:rsidRPr="00CF7FDB">
                <w:rPr>
                  <w:rFonts w:eastAsia="Times New Roman" w:cs="Arial"/>
                  <w:sz w:val="24"/>
                  <w:szCs w:val="24"/>
                  <w:lang w:eastAsia="en-GB"/>
                </w:rPr>
                <w:t>Activity 4.5: I</w:t>
              </w:r>
              <w:r w:rsidR="0093754C">
                <w:rPr>
                  <w:rFonts w:eastAsia="Times New Roman" w:cs="Arial"/>
                  <w:sz w:val="24"/>
                  <w:szCs w:val="24"/>
                  <w:lang w:eastAsia="en-GB"/>
                </w:rPr>
                <w:t xml:space="preserve">mproving your teaching: </w:t>
              </w:r>
              <w:r w:rsidR="00CF7FDB" w:rsidRPr="00CF7FDB">
                <w:rPr>
                  <w:rFonts w:eastAsia="Times New Roman" w:cs="Arial"/>
                  <w:sz w:val="24"/>
                  <w:szCs w:val="24"/>
                  <w:lang w:eastAsia="en-GB"/>
                </w:rPr>
                <w:t>lesson observations</w:t>
              </w:r>
            </w:hyperlink>
            <w:r w:rsidR="004E55C1">
              <w:rPr>
                <w:rFonts w:eastAsia="Times New Roman" w:cs="Arial"/>
                <w:sz w:val="24"/>
                <w:szCs w:val="24"/>
                <w:lang w:eastAsia="en-GB"/>
              </w:rPr>
              <w:t xml:space="preserve"> - colleagues</w:t>
            </w:r>
          </w:p>
        </w:tc>
        <w:tc>
          <w:tcPr>
            <w:tcW w:w="1881" w:type="dxa"/>
          </w:tcPr>
          <w:p w:rsidR="00CF7FDB" w:rsidRDefault="00CF7FDB" w:rsidP="00131D84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21-03-22</w:t>
            </w:r>
          </w:p>
        </w:tc>
      </w:tr>
      <w:tr w:rsidR="00CF7FDB" w:rsidTr="00131D84">
        <w:trPr>
          <w:trHeight w:val="444"/>
        </w:trPr>
        <w:tc>
          <w:tcPr>
            <w:tcW w:w="7282" w:type="dxa"/>
          </w:tcPr>
          <w:p w:rsidR="00CF7FDB" w:rsidRPr="00CF7FDB" w:rsidRDefault="00B75FC7" w:rsidP="00131D84">
            <w:pPr>
              <w:spacing w:before="100" w:beforeAutospacing="1" w:after="75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hyperlink r:id="rId32" w:history="1">
              <w:r w:rsidR="00CF7FDB" w:rsidRPr="00CF7FDB">
                <w:rPr>
                  <w:rStyle w:val="Hyperlink"/>
                  <w:rFonts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Activity 4.6: Reflecting on learning</w:t>
              </w:r>
            </w:hyperlink>
          </w:p>
        </w:tc>
        <w:tc>
          <w:tcPr>
            <w:tcW w:w="1881" w:type="dxa"/>
          </w:tcPr>
          <w:p w:rsidR="00CF7FDB" w:rsidRDefault="00CF7FDB" w:rsidP="00131D84">
            <w:pPr>
              <w:spacing w:before="100" w:beforeAutospacing="1"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28-03-22</w:t>
            </w:r>
          </w:p>
        </w:tc>
      </w:tr>
    </w:tbl>
    <w:p w:rsidR="00CF7FDB" w:rsidRPr="00CF7FDB" w:rsidRDefault="00CF7FDB" w:rsidP="00CF7FDB">
      <w:pPr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:rsidR="00F572ED" w:rsidRDefault="00F572ED" w:rsidP="0057473A">
      <w:pPr>
        <w:shd w:val="clear" w:color="auto" w:fill="FFFFFF"/>
        <w:spacing w:before="100" w:beforeAutospacing="1" w:after="75" w:line="240" w:lineRule="auto"/>
      </w:pPr>
    </w:p>
    <w:p w:rsidR="0057473A" w:rsidRPr="00A7501A" w:rsidRDefault="00B75FC7" w:rsidP="0057473A">
      <w:pPr>
        <w:shd w:val="clear" w:color="auto" w:fill="FFFFFF"/>
        <w:spacing w:before="100" w:beforeAutospacing="1" w:after="75" w:line="240" w:lineRule="auto"/>
        <w:rPr>
          <w:rFonts w:eastAsia="Times New Roman" w:cstheme="minorHAnsi"/>
          <w:color w:val="0070C0"/>
          <w:sz w:val="24"/>
          <w:szCs w:val="24"/>
          <w:lang w:eastAsia="en-GB"/>
        </w:rPr>
      </w:pPr>
      <w:hyperlink r:id="rId33" w:history="1">
        <w:r w:rsidR="0057473A" w:rsidRPr="00672FD4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https://www.early-career-framework.education.gov.uk/edt/edt-early-career-framework/self-directed-study-materials/</w:t>
        </w:r>
      </w:hyperlink>
    </w:p>
    <w:p w:rsidR="008F4C46" w:rsidRPr="00210B25" w:rsidRDefault="008F4C46" w:rsidP="008F4C46">
      <w:pPr>
        <w:pStyle w:val="ListParagraph"/>
        <w:rPr>
          <w:rFonts w:cstheme="minorHAnsi"/>
          <w:sz w:val="24"/>
          <w:szCs w:val="24"/>
        </w:rPr>
      </w:pPr>
    </w:p>
    <w:sectPr w:rsidR="008F4C46" w:rsidRPr="00210B25" w:rsidSect="000C45D2">
      <w:pgSz w:w="11906" w:h="16838"/>
      <w:pgMar w:top="1440" w:right="1440" w:bottom="1440" w:left="144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FC7" w:rsidRDefault="00B75FC7" w:rsidP="00A24C1B">
      <w:pPr>
        <w:spacing w:after="0" w:line="240" w:lineRule="auto"/>
      </w:pPr>
      <w:r>
        <w:separator/>
      </w:r>
    </w:p>
  </w:endnote>
  <w:endnote w:type="continuationSeparator" w:id="0">
    <w:p w:rsidR="00B75FC7" w:rsidRDefault="00B75FC7" w:rsidP="00A2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FC7" w:rsidRDefault="00B75FC7" w:rsidP="00A24C1B">
      <w:pPr>
        <w:spacing w:after="0" w:line="240" w:lineRule="auto"/>
      </w:pPr>
      <w:r>
        <w:separator/>
      </w:r>
    </w:p>
  </w:footnote>
  <w:footnote w:type="continuationSeparator" w:id="0">
    <w:p w:rsidR="00B75FC7" w:rsidRDefault="00B75FC7" w:rsidP="00A24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90DA8"/>
    <w:multiLevelType w:val="multilevel"/>
    <w:tmpl w:val="1C02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4225AB"/>
    <w:multiLevelType w:val="hybridMultilevel"/>
    <w:tmpl w:val="73F85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3113E"/>
    <w:multiLevelType w:val="hybridMultilevel"/>
    <w:tmpl w:val="AFEC89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71063"/>
    <w:multiLevelType w:val="multilevel"/>
    <w:tmpl w:val="ADB4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1E5192"/>
    <w:multiLevelType w:val="hybridMultilevel"/>
    <w:tmpl w:val="38D83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A188B"/>
    <w:multiLevelType w:val="hybridMultilevel"/>
    <w:tmpl w:val="7ED88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80"/>
    <w:rsid w:val="00031838"/>
    <w:rsid w:val="0004068E"/>
    <w:rsid w:val="000C45D2"/>
    <w:rsid w:val="000F75CB"/>
    <w:rsid w:val="00121DF5"/>
    <w:rsid w:val="00210B25"/>
    <w:rsid w:val="00212C4F"/>
    <w:rsid w:val="002340BD"/>
    <w:rsid w:val="00300C01"/>
    <w:rsid w:val="00306FDE"/>
    <w:rsid w:val="00316B1A"/>
    <w:rsid w:val="003842D6"/>
    <w:rsid w:val="003E0F63"/>
    <w:rsid w:val="004054C1"/>
    <w:rsid w:val="0041388A"/>
    <w:rsid w:val="00447733"/>
    <w:rsid w:val="00481AE1"/>
    <w:rsid w:val="00494257"/>
    <w:rsid w:val="004B7FDE"/>
    <w:rsid w:val="004E55C1"/>
    <w:rsid w:val="004F3880"/>
    <w:rsid w:val="005036B1"/>
    <w:rsid w:val="0057473A"/>
    <w:rsid w:val="00581958"/>
    <w:rsid w:val="005A1DB6"/>
    <w:rsid w:val="005C37E6"/>
    <w:rsid w:val="005E1537"/>
    <w:rsid w:val="0060479B"/>
    <w:rsid w:val="00612FB8"/>
    <w:rsid w:val="00672502"/>
    <w:rsid w:val="00672FD4"/>
    <w:rsid w:val="006D59B2"/>
    <w:rsid w:val="006F4682"/>
    <w:rsid w:val="00735A35"/>
    <w:rsid w:val="00741744"/>
    <w:rsid w:val="00834E30"/>
    <w:rsid w:val="0086209A"/>
    <w:rsid w:val="00880C72"/>
    <w:rsid w:val="00894993"/>
    <w:rsid w:val="008C0062"/>
    <w:rsid w:val="008E0CD9"/>
    <w:rsid w:val="008F4C46"/>
    <w:rsid w:val="0093754C"/>
    <w:rsid w:val="00A24C1B"/>
    <w:rsid w:val="00A7501A"/>
    <w:rsid w:val="00A9212E"/>
    <w:rsid w:val="00AA28DD"/>
    <w:rsid w:val="00AA497D"/>
    <w:rsid w:val="00AD45F6"/>
    <w:rsid w:val="00AF1D95"/>
    <w:rsid w:val="00B642F7"/>
    <w:rsid w:val="00B75FC7"/>
    <w:rsid w:val="00BC012E"/>
    <w:rsid w:val="00BD63E3"/>
    <w:rsid w:val="00BD7842"/>
    <w:rsid w:val="00BF180A"/>
    <w:rsid w:val="00C102B8"/>
    <w:rsid w:val="00C358DA"/>
    <w:rsid w:val="00CD61C3"/>
    <w:rsid w:val="00CF7FDB"/>
    <w:rsid w:val="00D101AA"/>
    <w:rsid w:val="00D76544"/>
    <w:rsid w:val="00E57677"/>
    <w:rsid w:val="00E8075A"/>
    <w:rsid w:val="00EA6598"/>
    <w:rsid w:val="00EA72D4"/>
    <w:rsid w:val="00F572ED"/>
    <w:rsid w:val="00F71E19"/>
    <w:rsid w:val="00F82E11"/>
    <w:rsid w:val="00FA62B2"/>
    <w:rsid w:val="00FB6C6C"/>
    <w:rsid w:val="00FE3538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168AD-24D6-4DB7-88A7-C93B358F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842D6"/>
    <w:rPr>
      <w:b/>
      <w:bCs/>
    </w:rPr>
  </w:style>
  <w:style w:type="table" w:styleId="TableGrid">
    <w:name w:val="Table Grid"/>
    <w:basedOn w:val="TableNormal"/>
    <w:uiPriority w:val="39"/>
    <w:rsid w:val="005A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50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501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C1B"/>
  </w:style>
  <w:style w:type="paragraph" w:styleId="Footer">
    <w:name w:val="footer"/>
    <w:basedOn w:val="Normal"/>
    <w:link w:val="FooterChar"/>
    <w:uiPriority w:val="99"/>
    <w:unhideWhenUsed/>
    <w:rsid w:val="00A24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C1B"/>
  </w:style>
  <w:style w:type="paragraph" w:styleId="ListParagraph">
    <w:name w:val="List Paragraph"/>
    <w:basedOn w:val="Normal"/>
    <w:uiPriority w:val="34"/>
    <w:qFormat/>
    <w:rsid w:val="00210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6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arly-career-framework.education.gov.uk/edt/edt-early-career-framework/self-directed-study-materials/establishing-a-positive-climate-for-learning/1-7-reflecting-on-learning/" TargetMode="External"/><Relationship Id="rId18" Type="http://schemas.openxmlformats.org/officeDocument/2006/relationships/hyperlink" Target="http://www.early-career-framework.education.gov.uk/edt/edt-early-career-framework/self-directed-study-materials/how-pupils-learn-%e2%80%92-memory-and-cognition/2-4-developing-your-teaching/" TargetMode="External"/><Relationship Id="rId26" Type="http://schemas.openxmlformats.org/officeDocument/2006/relationships/hyperlink" Target="http://www.early-career-framework.education.gov.uk/edt/edt-early-career-framework/self-directed-study-materials/3-developing-effective-classroom-practice-%e2%80%92-teaching-and-adapting/3-6-improving-your-teaching-lesson-observation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arly-career-framework.education.gov.uk/edt/edt-early-career-framework/self-directed-study-materials/3-developing-effective-classroom-practice-%e2%80%92-teaching-and-adapting/3-1-what-you-will-learn-and-video-introduction-to-the-block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early-career-framework.education.gov.uk/edt/edt-early-career-framework/self-directed-study-materials/establishing-a-positive-climate-for-learning/1-1-what-you-will-learn-and-video-introduction-to-the-block/" TargetMode="External"/><Relationship Id="rId12" Type="http://schemas.openxmlformats.org/officeDocument/2006/relationships/hyperlink" Target="http://www.early-career-framework.education.gov.uk/edt/edt-early-career-framework/self-directed-study-materials/establishing-a-positive-climate-for-learning/1-6-observations/" TargetMode="External"/><Relationship Id="rId17" Type="http://schemas.openxmlformats.org/officeDocument/2006/relationships/hyperlink" Target="http://www.early-career-framework.education.gov.uk/edt/edt-early-career-framework/self-directed-study-materials/how-pupils-learn-%e2%80%92-memory-and-cognition/2-3-learning-about-prior-knowledge-misconceptions-and-worked-examples/" TargetMode="External"/><Relationship Id="rId25" Type="http://schemas.openxmlformats.org/officeDocument/2006/relationships/hyperlink" Target="http://www.early-career-framework.education.gov.uk/edt/edt-early-career-framework/self-directed-study-materials/3-developing-effective-classroom-practice-%e2%80%92-teaching-and-adapting/3-5-developing-your-teaching/" TargetMode="External"/><Relationship Id="rId33" Type="http://schemas.openxmlformats.org/officeDocument/2006/relationships/hyperlink" Target="https://www.early-career-framework.education.gov.uk/edt/edt-early-career-framework/self-directed-study-material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arly-career-framework.education.gov.uk/edt/edt-early-career-framework/self-directed-study-materials/how-pupils-learn-%e2%80%92-memory-and-cognition/2-2-understanding-the-evidence/" TargetMode="External"/><Relationship Id="rId20" Type="http://schemas.openxmlformats.org/officeDocument/2006/relationships/hyperlink" Target="http://www.early-career-framework.education.gov.uk/edt/edt-early-career-framework/self-directed-study-materials/how-pupils-learn-%e2%80%92-memory-and-cognition/2-6-reflecting-on-learning/" TargetMode="External"/><Relationship Id="rId29" Type="http://schemas.openxmlformats.org/officeDocument/2006/relationships/hyperlink" Target="http://www.early-career-framework.education.gov.uk/edt/edt-early-career-framework/self-directed-study-materials/4-the-importance-of-subject-and-curriculum-knowledge/4-3-learning-about-literac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arly-career-framework.education.gov.uk/edt/edt-early-career-framework/self-directed-study-materials/establishing-a-positive-climate-for-learning/1-5-developing-your-teaching-your-role-in-establishing-positive-behaviour/" TargetMode="External"/><Relationship Id="rId24" Type="http://schemas.openxmlformats.org/officeDocument/2006/relationships/hyperlink" Target="http://www.early-career-framework.education.gov.uk/edt/edt-early-career-framework/self-directed-study-materials/3-developing-effective-classroom-practice-%e2%80%92-teaching-and-adapting/3-4-learning-about-adaptive-teaching/" TargetMode="External"/><Relationship Id="rId32" Type="http://schemas.openxmlformats.org/officeDocument/2006/relationships/hyperlink" Target="http://www.early-career-framework.education.gov.uk/edt/edt-early-career-framework/self-directed-study-materials/4-the-importance-of-subject-and-curriculum-knowledge/4-6-reflecting-on-learni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arly-career-framework.education.gov.uk/edt/edt-early-career-framework/self-directed-study-materials/how-pupils-learn-%e2%80%92-memory-and-cognition/2-1-what-you-will-learn-and-video-introduction-to-the-block/" TargetMode="External"/><Relationship Id="rId23" Type="http://schemas.openxmlformats.org/officeDocument/2006/relationships/hyperlink" Target="http://www.early-career-framework.education.gov.uk/edt/edt-early-career-framework/self-directed-study-materials/3-developing-effective-classroom-practice-%e2%80%92-teaching-and-adapting/3-3-understanding-the-evidence-2-metacognition-and-teaching/" TargetMode="External"/><Relationship Id="rId28" Type="http://schemas.openxmlformats.org/officeDocument/2006/relationships/hyperlink" Target="http://www.early-career-framework.education.gov.uk/edt/edt-early-career-framework/self-directed-study-materials/4-the-importance-of-subject-and-curriculum-knowledge/4-2-understanding-the-evidence/" TargetMode="External"/><Relationship Id="rId10" Type="http://schemas.openxmlformats.org/officeDocument/2006/relationships/hyperlink" Target="http://www.early-career-framework.education.gov.uk/edt/edt-early-career-framework/self-directed-study-materials/establishing-a-positive-climate-for-learning/1-4-learning-about-maintaining-consistently-high-behavioural-expectations/" TargetMode="External"/><Relationship Id="rId19" Type="http://schemas.openxmlformats.org/officeDocument/2006/relationships/hyperlink" Target="http://www.early-career-framework.education.gov.uk/edt/edt-early-career-framework/self-directed-study-materials/how-pupils-learn-%e2%80%92-memory-and-cognition/2-5-improving-your-teaching-lesson-observations/" TargetMode="External"/><Relationship Id="rId31" Type="http://schemas.openxmlformats.org/officeDocument/2006/relationships/hyperlink" Target="http://www.early-career-framework.education.gov.uk/edt/edt-early-career-framework/self-directed-study-materials/4-the-importance-of-subject-and-curriculum-knowledge/4-5-improving-your-teaching-lesson-observ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rly-career-framework.education.gov.uk/edt/edt-early-career-framework/self-directed-study-materials/establishing-a-positive-climate-for-learning/1-3-learning-about-classroom-routines/" TargetMode="External"/><Relationship Id="rId14" Type="http://schemas.openxmlformats.org/officeDocument/2006/relationships/hyperlink" Target="https://www.early-career-framework.education.gov.uk/edt/edt-early-career-framework/self-directed-study-materials/" TargetMode="External"/><Relationship Id="rId22" Type="http://schemas.openxmlformats.org/officeDocument/2006/relationships/hyperlink" Target="http://www.early-career-framework.education.gov.uk/edt/edt-early-career-framework/self-directed-study-materials/3-developing-effective-classroom-practice-%e2%80%92-teaching-and-adapting/3-2-understanding-the-evidence-1-effective-teaching/" TargetMode="External"/><Relationship Id="rId27" Type="http://schemas.openxmlformats.org/officeDocument/2006/relationships/hyperlink" Target="http://www.early-career-framework.education.gov.uk/edt/edt-early-career-framework/self-directed-study-materials/4-the-importance-of-subject-and-curriculum-knowledge/4-1-what-you-will-learn-and-video-introduction-to-the-block-2/" TargetMode="External"/><Relationship Id="rId30" Type="http://schemas.openxmlformats.org/officeDocument/2006/relationships/hyperlink" Target="http://www.early-career-framework.education.gov.uk/edt/edt-early-career-framework/self-directed-study-materials/4-the-importance-of-subject-and-curriculum-knowledge/4-4-developing-your-teaching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early-career-framework.education.gov.uk/edt/edt-early-career-framework/self-directed-study-materials/establishing-a-positive-climate-for-learning/1-2-understanding-the-evidence-the-importance-of-expectations-routines-and-relationsh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CTP</Company>
  <LinksUpToDate>false</LinksUpToDate>
  <CharactersWithSpaces>10767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Duncan</dc:creator>
  <cp:keywords/>
  <dc:description/>
  <cp:lastModifiedBy>Trudi Sammons</cp:lastModifiedBy>
  <cp:revision>2</cp:revision>
  <dcterms:created xsi:type="dcterms:W3CDTF">2021-09-11T09:19:00Z</dcterms:created>
  <dcterms:modified xsi:type="dcterms:W3CDTF">2021-09-11T09:19:00Z</dcterms:modified>
</cp:coreProperties>
</file>