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2B6E7" w14:textId="14B658FF" w:rsidR="004204D8" w:rsidRDefault="00A45BA2">
      <w:pPr>
        <w:rPr>
          <w:b/>
          <w:sz w:val="44"/>
          <w:szCs w:val="44"/>
        </w:rPr>
      </w:pPr>
      <w:r w:rsidRPr="00A45BA2">
        <w:rPr>
          <w:b/>
          <w:sz w:val="44"/>
          <w:szCs w:val="44"/>
        </w:rPr>
        <w:t xml:space="preserve">Governor Induction – Summary of Content </w:t>
      </w:r>
    </w:p>
    <w:p w14:paraId="0CFD5002" w14:textId="0052A38B" w:rsidR="00A45BA2" w:rsidRDefault="00A45BA2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What is a governor and how are governing bodies constituted</w:t>
      </w:r>
    </w:p>
    <w:p w14:paraId="6199A226" w14:textId="66BD7776" w:rsidR="00A45BA2" w:rsidRDefault="00A45BA2">
      <w:pPr>
        <w:rPr>
          <w:sz w:val="28"/>
          <w:szCs w:val="28"/>
        </w:rPr>
      </w:pPr>
      <w:r>
        <w:rPr>
          <w:sz w:val="28"/>
          <w:szCs w:val="28"/>
        </w:rPr>
        <w:t>The Nolan Principles and how they underpin the work of the governing board</w:t>
      </w:r>
    </w:p>
    <w:p w14:paraId="4D55E68D" w14:textId="4526CCA6" w:rsidR="00A45BA2" w:rsidRDefault="00A45BA2">
      <w:pPr>
        <w:rPr>
          <w:sz w:val="28"/>
          <w:szCs w:val="28"/>
        </w:rPr>
      </w:pPr>
      <w:r>
        <w:rPr>
          <w:sz w:val="28"/>
          <w:szCs w:val="28"/>
        </w:rPr>
        <w:t xml:space="preserve">Introduction to schools and how governors build good relationships with Headteacher and staff </w:t>
      </w:r>
    </w:p>
    <w:p w14:paraId="2C665E18" w14:textId="5D60D697" w:rsidR="00A45BA2" w:rsidRDefault="00A45BA2">
      <w:pPr>
        <w:rPr>
          <w:sz w:val="28"/>
          <w:szCs w:val="28"/>
        </w:rPr>
      </w:pPr>
      <w:r>
        <w:rPr>
          <w:sz w:val="28"/>
          <w:szCs w:val="28"/>
        </w:rPr>
        <w:t xml:space="preserve">The competency framework for Governance including </w:t>
      </w:r>
      <w:r w:rsidR="007F538E">
        <w:rPr>
          <w:sz w:val="28"/>
          <w:szCs w:val="28"/>
        </w:rPr>
        <w:t xml:space="preserve">the </w:t>
      </w:r>
      <w:r>
        <w:rPr>
          <w:sz w:val="28"/>
          <w:szCs w:val="28"/>
        </w:rPr>
        <w:t>organisational structure</w:t>
      </w:r>
      <w:r w:rsidR="00E55F0F">
        <w:rPr>
          <w:sz w:val="28"/>
          <w:szCs w:val="28"/>
        </w:rPr>
        <w:t>, each area of the competency framework is explored</w:t>
      </w:r>
      <w:r>
        <w:rPr>
          <w:sz w:val="28"/>
          <w:szCs w:val="28"/>
        </w:rPr>
        <w:t xml:space="preserve"> </w:t>
      </w:r>
    </w:p>
    <w:p w14:paraId="47A3D26B" w14:textId="3B9AE166" w:rsidR="00A45BA2" w:rsidRDefault="00E55F0F">
      <w:pPr>
        <w:rPr>
          <w:sz w:val="28"/>
          <w:szCs w:val="28"/>
        </w:rPr>
      </w:pPr>
      <w:r>
        <w:rPr>
          <w:sz w:val="28"/>
          <w:szCs w:val="28"/>
        </w:rPr>
        <w:t>The r</w:t>
      </w:r>
      <w:r w:rsidR="00A45BA2">
        <w:rPr>
          <w:sz w:val="28"/>
          <w:szCs w:val="28"/>
        </w:rPr>
        <w:t>ole of the clerk</w:t>
      </w:r>
    </w:p>
    <w:p w14:paraId="50302D4D" w14:textId="61194D6B" w:rsidR="007F538E" w:rsidRDefault="007F538E">
      <w:pPr>
        <w:rPr>
          <w:sz w:val="28"/>
          <w:szCs w:val="28"/>
        </w:rPr>
      </w:pPr>
      <w:r>
        <w:rPr>
          <w:sz w:val="28"/>
          <w:szCs w:val="28"/>
        </w:rPr>
        <w:t xml:space="preserve">Effectiveness of governing bodies and meetings </w:t>
      </w:r>
    </w:p>
    <w:p w14:paraId="04E0FF42" w14:textId="755623F2" w:rsidR="005F568A" w:rsidRDefault="005F568A" w:rsidP="005F568A">
      <w:pPr>
        <w:rPr>
          <w:sz w:val="28"/>
          <w:szCs w:val="28"/>
        </w:rPr>
      </w:pPr>
      <w:r>
        <w:rPr>
          <w:sz w:val="28"/>
          <w:szCs w:val="28"/>
        </w:rPr>
        <w:t>The Ofsted Framework and governors’ role in an inspection</w:t>
      </w:r>
    </w:p>
    <w:p w14:paraId="2B0980DE" w14:textId="108ADBD8" w:rsidR="005F568A" w:rsidRDefault="00A45BA2">
      <w:pPr>
        <w:rPr>
          <w:sz w:val="28"/>
          <w:szCs w:val="28"/>
        </w:rPr>
      </w:pPr>
      <w:r>
        <w:rPr>
          <w:sz w:val="28"/>
          <w:szCs w:val="28"/>
        </w:rPr>
        <w:t>Core Functions of the Governing Body</w:t>
      </w:r>
      <w:r w:rsidR="00E55F0F">
        <w:rPr>
          <w:sz w:val="28"/>
          <w:szCs w:val="28"/>
        </w:rPr>
        <w:t xml:space="preserve"> from the Governance Handbook 2019</w:t>
      </w:r>
      <w:r w:rsidR="005F568A">
        <w:rPr>
          <w:sz w:val="28"/>
          <w:szCs w:val="28"/>
        </w:rPr>
        <w:t>:</w:t>
      </w:r>
    </w:p>
    <w:p w14:paraId="4D65F2EC" w14:textId="77777777" w:rsidR="005F568A" w:rsidRPr="00E55F0F" w:rsidRDefault="005F568A" w:rsidP="005F568A">
      <w:pPr>
        <w:numPr>
          <w:ilvl w:val="1"/>
          <w:numId w:val="1"/>
        </w:numPr>
        <w:kinsoku w:val="0"/>
        <w:overflowPunct w:val="0"/>
        <w:spacing w:after="0" w:line="240" w:lineRule="auto"/>
        <w:ind w:left="567" w:hanging="425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55F0F">
        <w:rPr>
          <w:rFonts w:eastAsiaTheme="minorEastAsia" w:hAnsi="Constantia" w:cs="Arial"/>
          <w:bCs/>
          <w:color w:val="000000" w:themeColor="text1"/>
          <w:sz w:val="28"/>
          <w:szCs w:val="28"/>
          <w:lang w:val="en-US" w:eastAsia="en-GB"/>
        </w:rPr>
        <w:t>Ensuring clarity of vision, ethos and strategic direction;</w:t>
      </w:r>
    </w:p>
    <w:p w14:paraId="11C80766" w14:textId="77777777" w:rsidR="00E55F0F" w:rsidRPr="00E55F0F" w:rsidRDefault="00E55F0F" w:rsidP="00DA7309">
      <w:pPr>
        <w:numPr>
          <w:ilvl w:val="1"/>
          <w:numId w:val="1"/>
        </w:numPr>
        <w:kinsoku w:val="0"/>
        <w:overflowPunct w:val="0"/>
        <w:spacing w:after="0" w:line="240" w:lineRule="auto"/>
        <w:ind w:left="567" w:hanging="425"/>
        <w:contextualSpacing/>
        <w:textAlignment w:val="baseline"/>
        <w:rPr>
          <w:sz w:val="28"/>
          <w:szCs w:val="28"/>
        </w:rPr>
      </w:pPr>
      <w:r w:rsidRPr="00E55F0F">
        <w:rPr>
          <w:rFonts w:eastAsiaTheme="minorEastAsia" w:hAnsi="Constantia" w:cs="Arial"/>
          <w:bCs/>
          <w:color w:val="000000" w:themeColor="text1"/>
          <w:sz w:val="28"/>
          <w:szCs w:val="28"/>
          <w:lang w:val="en-US" w:eastAsia="en-GB"/>
        </w:rPr>
        <w:t xml:space="preserve">Holding executive leaders to account for the educational performance of the </w:t>
      </w:r>
      <w:proofErr w:type="spellStart"/>
      <w:r w:rsidRPr="00E55F0F">
        <w:rPr>
          <w:rFonts w:eastAsiaTheme="minorEastAsia" w:hAnsi="Constantia" w:cs="Arial"/>
          <w:bCs/>
          <w:color w:val="000000" w:themeColor="text1"/>
          <w:sz w:val="28"/>
          <w:szCs w:val="28"/>
          <w:lang w:val="en-US" w:eastAsia="en-GB"/>
        </w:rPr>
        <w:t>organisation</w:t>
      </w:r>
      <w:proofErr w:type="spellEnd"/>
      <w:r w:rsidRPr="00E55F0F">
        <w:rPr>
          <w:rFonts w:eastAsiaTheme="minorEastAsia" w:hAnsi="Constantia" w:cs="Arial"/>
          <w:bCs/>
          <w:color w:val="000000" w:themeColor="text1"/>
          <w:sz w:val="28"/>
          <w:szCs w:val="28"/>
          <w:lang w:val="en-US" w:eastAsia="en-GB"/>
        </w:rPr>
        <w:t xml:space="preserve"> and its pupils, and the effective and efficient performance management of staff; and </w:t>
      </w:r>
    </w:p>
    <w:p w14:paraId="1ED18F89" w14:textId="4AFE1DBF" w:rsidR="005F568A" w:rsidRPr="00E55F0F" w:rsidRDefault="005F568A" w:rsidP="00DA7309">
      <w:pPr>
        <w:numPr>
          <w:ilvl w:val="1"/>
          <w:numId w:val="1"/>
        </w:numPr>
        <w:kinsoku w:val="0"/>
        <w:overflowPunct w:val="0"/>
        <w:spacing w:after="0" w:line="240" w:lineRule="auto"/>
        <w:ind w:left="567" w:hanging="425"/>
        <w:contextualSpacing/>
        <w:textAlignment w:val="baseline"/>
        <w:rPr>
          <w:sz w:val="28"/>
          <w:szCs w:val="28"/>
        </w:rPr>
      </w:pPr>
      <w:r w:rsidRPr="00E55F0F">
        <w:rPr>
          <w:rFonts w:eastAsiaTheme="minorEastAsia" w:hAnsi="Constantia" w:cs="Arial"/>
          <w:bCs/>
          <w:color w:val="000000" w:themeColor="text1"/>
          <w:sz w:val="28"/>
          <w:szCs w:val="28"/>
          <w:lang w:val="en-US" w:eastAsia="en-GB"/>
        </w:rPr>
        <w:t>O</w:t>
      </w:r>
      <w:proofErr w:type="spellStart"/>
      <w:r w:rsidRPr="00E55F0F">
        <w:rPr>
          <w:rFonts w:eastAsiaTheme="minorEastAsia" w:hAnsi="Constantia" w:cs="Arial"/>
          <w:bCs/>
          <w:color w:val="000000" w:themeColor="text1"/>
          <w:sz w:val="28"/>
          <w:szCs w:val="28"/>
          <w:lang w:val="en-US" w:eastAsia="en-GB"/>
        </w:rPr>
        <w:t>verseeing</w:t>
      </w:r>
      <w:proofErr w:type="spellEnd"/>
      <w:r w:rsidRPr="00E55F0F">
        <w:rPr>
          <w:rFonts w:eastAsiaTheme="minorEastAsia" w:hAnsi="Constantia" w:cs="Arial"/>
          <w:bCs/>
          <w:color w:val="000000" w:themeColor="text1"/>
          <w:sz w:val="28"/>
          <w:szCs w:val="28"/>
          <w:lang w:val="en-US" w:eastAsia="en-GB"/>
        </w:rPr>
        <w:t xml:space="preserve"> the financial performance of the organisation and making sure its money is well spent</w:t>
      </w:r>
    </w:p>
    <w:p w14:paraId="6459A97D" w14:textId="2D8E2E23" w:rsidR="00A45BA2" w:rsidRDefault="00A45BA2">
      <w:pPr>
        <w:rPr>
          <w:sz w:val="28"/>
          <w:szCs w:val="28"/>
        </w:rPr>
      </w:pPr>
    </w:p>
    <w:p w14:paraId="6D6A1118" w14:textId="77777777" w:rsidR="00E55F0F" w:rsidRDefault="00E55F0F">
      <w:pPr>
        <w:rPr>
          <w:sz w:val="28"/>
          <w:szCs w:val="28"/>
        </w:rPr>
      </w:pPr>
      <w:r>
        <w:rPr>
          <w:sz w:val="28"/>
          <w:szCs w:val="28"/>
        </w:rPr>
        <w:t>Importance of School Development Plan and ongoing school improvement</w:t>
      </w:r>
    </w:p>
    <w:p w14:paraId="428CC231" w14:textId="46901617" w:rsidR="00E55F0F" w:rsidRPr="005F568A" w:rsidRDefault="00E55F0F">
      <w:pPr>
        <w:rPr>
          <w:sz w:val="28"/>
          <w:szCs w:val="28"/>
        </w:rPr>
      </w:pPr>
      <w:r>
        <w:rPr>
          <w:sz w:val="28"/>
          <w:szCs w:val="28"/>
        </w:rPr>
        <w:t>Governors role in strategic leadership and not day to day management</w:t>
      </w:r>
    </w:p>
    <w:p w14:paraId="746BE127" w14:textId="55A59D75" w:rsidR="00A45BA2" w:rsidRDefault="007F538E">
      <w:pPr>
        <w:rPr>
          <w:sz w:val="28"/>
          <w:szCs w:val="28"/>
        </w:rPr>
      </w:pPr>
      <w:r>
        <w:rPr>
          <w:sz w:val="28"/>
          <w:szCs w:val="28"/>
        </w:rPr>
        <w:t>What should governors be monitoring and evaluating and how they balance that with support and challenge.</w:t>
      </w:r>
    </w:p>
    <w:p w14:paraId="4D966785" w14:textId="748A7FB8" w:rsidR="007F538E" w:rsidRDefault="007F538E">
      <w:pPr>
        <w:rPr>
          <w:sz w:val="28"/>
          <w:szCs w:val="28"/>
        </w:rPr>
      </w:pPr>
      <w:r>
        <w:rPr>
          <w:sz w:val="28"/>
          <w:szCs w:val="28"/>
        </w:rPr>
        <w:t xml:space="preserve">What next and what support can governors expect </w:t>
      </w:r>
    </w:p>
    <w:bookmarkEnd w:id="0"/>
    <w:p w14:paraId="4E749BF9" w14:textId="77777777" w:rsidR="007F538E" w:rsidRDefault="007F538E">
      <w:pPr>
        <w:rPr>
          <w:sz w:val="28"/>
          <w:szCs w:val="28"/>
        </w:rPr>
      </w:pPr>
    </w:p>
    <w:sectPr w:rsidR="007F538E" w:rsidSect="005F568A">
      <w:pgSz w:w="11906" w:h="16838"/>
      <w:pgMar w:top="993" w:right="566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926E4"/>
    <w:multiLevelType w:val="hybridMultilevel"/>
    <w:tmpl w:val="893A0442"/>
    <w:lvl w:ilvl="0" w:tplc="D056E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526C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60DD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0C3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7E51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2686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FC6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F084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28BF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C5C"/>
    <w:rsid w:val="004204D8"/>
    <w:rsid w:val="005F568A"/>
    <w:rsid w:val="006F5C5C"/>
    <w:rsid w:val="007F538E"/>
    <w:rsid w:val="00A45BA2"/>
    <w:rsid w:val="00E55F0F"/>
    <w:rsid w:val="00EF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E174C"/>
  <w15:chartTrackingRefBased/>
  <w15:docId w15:val="{E233A6E6-F9ED-4CC1-976C-0BFA9178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6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1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33546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8831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C1F26-20E4-4E05-AC48-4C7A7AE66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Edwards</dc:creator>
  <cp:keywords/>
  <dc:description/>
  <cp:lastModifiedBy>Rachel Clayton</cp:lastModifiedBy>
  <cp:revision>4</cp:revision>
  <dcterms:created xsi:type="dcterms:W3CDTF">2019-03-14T15:40:00Z</dcterms:created>
  <dcterms:modified xsi:type="dcterms:W3CDTF">2019-06-19T17:26:00Z</dcterms:modified>
</cp:coreProperties>
</file>